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834DC">
      <w:pPr>
        <w:spacing w:line="360" w:lineRule="auto"/>
        <w:rPr>
          <w:rFonts w:ascii="黑体"/>
        </w:rPr>
      </w:pPr>
    </w:p>
    <w:p w14:paraId="21E54EF9">
      <w:pPr>
        <w:spacing w:before="92" w:line="360" w:lineRule="auto"/>
        <w:ind w:firstLine="4480" w:firstLineChars="1600"/>
        <w:rPr>
          <w:rFonts w:hint="default" w:ascii="黑体" w:eastAsia="宋体"/>
          <w:lang w:val="en-US" w:eastAsia="zh-CN"/>
        </w:rPr>
      </w:pPr>
      <w:r>
        <w:rPr>
          <w:rFonts w:ascii="宋体" w:hAnsi="宋体" w:eastAsia="宋体" w:cs="宋体"/>
          <w:sz w:val="28"/>
          <w:szCs w:val="28"/>
          <w14:textOutline w14:w="5092" w14:cap="flat" w14:cmpd="sng" w14:algn="ctr">
            <w14:solidFill>
              <w14:srgbClr w14:val="000000"/>
            </w14:solidFill>
            <w14:prstDash w14:val="solid"/>
            <w14:miter w14:val="0"/>
          </w14:textOutline>
        </w:rPr>
        <w:t>招标文件编号</w:t>
      </w:r>
      <w:r>
        <w:rPr>
          <w:rFonts w:ascii="宋体" w:hAnsi="宋体" w:eastAsia="宋体" w:cs="宋体"/>
          <w:sz w:val="28"/>
          <w:szCs w:val="28"/>
        </w:rPr>
        <w:t>：</w:t>
      </w:r>
      <w:r>
        <w:rPr>
          <w:rFonts w:hint="eastAsia" w:ascii="宋体" w:hAnsi="宋体" w:eastAsia="宋体" w:cs="宋体"/>
          <w:sz w:val="28"/>
          <w:szCs w:val="28"/>
          <w:highlight w:val="none"/>
          <w:lang w:val="en-US" w:eastAsia="zh-CN"/>
        </w:rPr>
        <w:t>HXZB2025060301</w:t>
      </w:r>
    </w:p>
    <w:p w14:paraId="0D12C71D">
      <w:pPr>
        <w:spacing w:line="360" w:lineRule="auto"/>
        <w:rPr>
          <w:rFonts w:ascii="黑体"/>
        </w:rPr>
      </w:pPr>
    </w:p>
    <w:p w14:paraId="182A12A9">
      <w:pPr>
        <w:spacing w:line="360" w:lineRule="auto"/>
        <w:rPr>
          <w:rFonts w:ascii="黑体"/>
        </w:rPr>
      </w:pPr>
    </w:p>
    <w:p w14:paraId="0F702D57">
      <w:pPr>
        <w:spacing w:line="360" w:lineRule="auto"/>
        <w:rPr>
          <w:rFonts w:ascii="黑体"/>
        </w:rPr>
      </w:pPr>
    </w:p>
    <w:p w14:paraId="7B8D5328">
      <w:pPr>
        <w:spacing w:line="360" w:lineRule="auto"/>
        <w:rPr>
          <w:rFonts w:ascii="黑体"/>
        </w:rPr>
      </w:pPr>
    </w:p>
    <w:p w14:paraId="6F813CF4">
      <w:pPr>
        <w:tabs>
          <w:tab w:val="left" w:pos="5882"/>
        </w:tabs>
        <w:spacing w:before="169" w:line="360" w:lineRule="auto"/>
        <w:jc w:val="center"/>
        <w:rPr>
          <w:rFonts w:ascii="宋体" w:hAnsi="宋体" w:eastAsia="宋体" w:cs="宋体"/>
          <w:sz w:val="52"/>
          <w:szCs w:val="52"/>
        </w:rPr>
      </w:pPr>
      <w:r>
        <w:rPr>
          <w:rFonts w:ascii="宋体" w:hAnsi="宋体" w:eastAsia="宋体" w:cs="宋体"/>
          <w:b w:val="0"/>
          <w:bCs w:val="0"/>
          <w:color w:val="000000"/>
          <w:sz w:val="52"/>
          <w:szCs w:val="52"/>
          <w:u w:val="single"/>
        </w:rPr>
        <w:t xml:space="preserve">一体机服务器塔式工作站电脑 </w:t>
      </w:r>
      <w:r>
        <w:rPr>
          <w:rFonts w:ascii="宋体" w:hAnsi="宋体" w:eastAsia="宋体" w:cs="宋体"/>
          <w:sz w:val="52"/>
          <w:szCs w:val="52"/>
        </w:rPr>
        <w:t>采购项目</w:t>
      </w:r>
    </w:p>
    <w:p w14:paraId="26066504">
      <w:pPr>
        <w:spacing w:line="360" w:lineRule="auto"/>
        <w:rPr>
          <w:rFonts w:ascii="黑体"/>
        </w:rPr>
      </w:pPr>
    </w:p>
    <w:p w14:paraId="5AA7D89A">
      <w:pPr>
        <w:spacing w:line="360" w:lineRule="auto"/>
        <w:rPr>
          <w:rFonts w:ascii="黑体"/>
        </w:rPr>
      </w:pPr>
    </w:p>
    <w:p w14:paraId="370320FE">
      <w:pPr>
        <w:spacing w:line="360" w:lineRule="auto"/>
        <w:rPr>
          <w:rFonts w:ascii="黑体"/>
        </w:rPr>
      </w:pPr>
    </w:p>
    <w:p w14:paraId="1877FE78">
      <w:pPr>
        <w:spacing w:line="360" w:lineRule="auto"/>
        <w:rPr>
          <w:rFonts w:ascii="黑体"/>
        </w:rPr>
      </w:pPr>
    </w:p>
    <w:p w14:paraId="0EE4B876">
      <w:pPr>
        <w:spacing w:line="360" w:lineRule="auto"/>
        <w:rPr>
          <w:rFonts w:ascii="黑体"/>
        </w:rPr>
      </w:pPr>
    </w:p>
    <w:p w14:paraId="0B8D8315">
      <w:pPr>
        <w:spacing w:line="360" w:lineRule="auto"/>
        <w:rPr>
          <w:rFonts w:ascii="黑体"/>
        </w:rPr>
      </w:pPr>
    </w:p>
    <w:p w14:paraId="6528C7BB">
      <w:pPr>
        <w:spacing w:line="360" w:lineRule="auto"/>
        <w:rPr>
          <w:rFonts w:ascii="黑体"/>
        </w:rPr>
      </w:pPr>
    </w:p>
    <w:p w14:paraId="2EC90291">
      <w:pPr>
        <w:spacing w:before="274" w:line="360" w:lineRule="auto"/>
        <w:jc w:val="center"/>
        <w:outlineLvl w:val="0"/>
        <w:rPr>
          <w:rFonts w:ascii="宋体" w:hAnsi="宋体" w:eastAsia="宋体" w:cs="宋体"/>
          <w:sz w:val="84"/>
          <w:szCs w:val="84"/>
        </w:rPr>
      </w:pPr>
      <w:bookmarkStart w:id="0" w:name="_Toc3319"/>
      <w:bookmarkStart w:id="1" w:name="_Toc7596"/>
      <w:bookmarkStart w:id="2" w:name="_Toc4814"/>
      <w:r>
        <w:rPr>
          <w:rFonts w:ascii="宋体" w:hAnsi="宋体" w:eastAsia="宋体" w:cs="宋体"/>
          <w:sz w:val="84"/>
          <w:szCs w:val="84"/>
          <w14:textOutline w14:w="15240" w14:cap="flat" w14:cmpd="sng" w14:algn="ctr">
            <w14:solidFill>
              <w14:srgbClr w14:val="000000"/>
            </w14:solidFill>
            <w14:prstDash w14:val="solid"/>
            <w14:miter w14:val="0"/>
          </w14:textOutline>
        </w:rPr>
        <w:t>招标文件</w:t>
      </w:r>
      <w:bookmarkEnd w:id="0"/>
      <w:bookmarkEnd w:id="1"/>
      <w:bookmarkEnd w:id="2"/>
    </w:p>
    <w:p w14:paraId="74C330DF">
      <w:pPr>
        <w:spacing w:line="360" w:lineRule="auto"/>
        <w:rPr>
          <w:rFonts w:ascii="黑体"/>
        </w:rPr>
      </w:pPr>
    </w:p>
    <w:p w14:paraId="0CE64B6E">
      <w:pPr>
        <w:spacing w:line="360" w:lineRule="auto"/>
        <w:rPr>
          <w:rFonts w:ascii="黑体"/>
        </w:rPr>
      </w:pPr>
    </w:p>
    <w:p w14:paraId="21DC1332">
      <w:pPr>
        <w:spacing w:line="360" w:lineRule="auto"/>
        <w:rPr>
          <w:rFonts w:ascii="黑体"/>
        </w:rPr>
      </w:pPr>
    </w:p>
    <w:p w14:paraId="40D86D98">
      <w:pPr>
        <w:spacing w:line="360" w:lineRule="auto"/>
        <w:rPr>
          <w:rFonts w:ascii="黑体"/>
        </w:rPr>
      </w:pPr>
    </w:p>
    <w:p w14:paraId="556B3751">
      <w:pPr>
        <w:spacing w:before="104" w:line="360" w:lineRule="auto"/>
        <w:rPr>
          <w:rFonts w:ascii="仿宋" w:hAnsi="仿宋" w:eastAsia="仿宋" w:cs="仿宋"/>
          <w:sz w:val="32"/>
          <w:szCs w:val="32"/>
        </w:rPr>
      </w:pPr>
    </w:p>
    <w:p w14:paraId="17445995">
      <w:pPr>
        <w:spacing w:before="104" w:line="360" w:lineRule="auto"/>
        <w:jc w:val="center"/>
        <w:rPr>
          <w:rFonts w:ascii="仿宋" w:hAnsi="仿宋" w:eastAsia="仿宋" w:cs="仿宋"/>
          <w:sz w:val="32"/>
          <w:szCs w:val="32"/>
        </w:rPr>
      </w:pPr>
      <w:r>
        <w:rPr>
          <w:rFonts w:ascii="仿宋" w:hAnsi="仿宋" w:eastAsia="仿宋" w:cs="仿宋"/>
          <w:sz w:val="32"/>
          <w:szCs w:val="32"/>
        </w:rPr>
        <w:t>招标人：</w:t>
      </w:r>
      <w:r>
        <w:rPr>
          <w:rFonts w:hint="eastAsia" w:ascii="仿宋" w:hAnsi="仿宋" w:eastAsia="仿宋" w:cs="仿宋"/>
          <w:sz w:val="32"/>
          <w:szCs w:val="32"/>
        </w:rPr>
        <w:t>中国机械总院集团海西（福建）分院有限公司</w:t>
      </w:r>
    </w:p>
    <w:p w14:paraId="5E16A271">
      <w:pPr>
        <w:spacing w:line="360" w:lineRule="auto"/>
        <w:rPr>
          <w:rFonts w:ascii="黑体"/>
        </w:rPr>
      </w:pPr>
    </w:p>
    <w:p w14:paraId="3AFC4D42">
      <w:pPr>
        <w:spacing w:before="104" w:line="360" w:lineRule="auto"/>
        <w:jc w:val="center"/>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ascii="仿宋" w:hAnsi="仿宋" w:eastAsia="仿宋" w:cs="仿宋"/>
          <w:sz w:val="32"/>
          <w:szCs w:val="32"/>
        </w:rPr>
        <w:t>年</w:t>
      </w:r>
      <w:r>
        <w:rPr>
          <w:rFonts w:hint="eastAsia" w:ascii="仿宋" w:hAnsi="仿宋" w:eastAsia="仿宋" w:cs="仿宋"/>
          <w:sz w:val="32"/>
          <w:szCs w:val="32"/>
          <w:lang w:val="en-US" w:eastAsia="zh-CN"/>
        </w:rPr>
        <w:t>06</w:t>
      </w:r>
      <w:r>
        <w:rPr>
          <w:rFonts w:ascii="仿宋" w:hAnsi="仿宋" w:eastAsia="仿宋" w:cs="仿宋"/>
          <w:sz w:val="32"/>
          <w:szCs w:val="32"/>
        </w:rPr>
        <w:t>月</w:t>
      </w:r>
      <w:r>
        <w:rPr>
          <w:rFonts w:hint="eastAsia" w:ascii="仿宋" w:hAnsi="仿宋" w:eastAsia="仿宋" w:cs="仿宋"/>
          <w:sz w:val="32"/>
          <w:szCs w:val="32"/>
          <w:lang w:val="en-US" w:eastAsia="zh-CN"/>
        </w:rPr>
        <w:t>03</w:t>
      </w:r>
      <w:r>
        <w:rPr>
          <w:rFonts w:ascii="仿宋" w:hAnsi="仿宋" w:eastAsia="仿宋" w:cs="仿宋"/>
          <w:sz w:val="32"/>
          <w:szCs w:val="32"/>
        </w:rPr>
        <w:t>日</w:t>
      </w:r>
    </w:p>
    <w:p w14:paraId="3E809FA9">
      <w:pPr>
        <w:spacing w:line="360" w:lineRule="auto"/>
        <w:rPr>
          <w:rFonts w:ascii="仿宋" w:hAnsi="仿宋" w:eastAsia="仿宋" w:cs="仿宋"/>
          <w:sz w:val="32"/>
          <w:szCs w:val="32"/>
        </w:rPr>
      </w:pPr>
      <w:r>
        <w:rPr>
          <w:rFonts w:ascii="仿宋" w:hAnsi="仿宋" w:eastAsia="仿宋" w:cs="仿宋"/>
          <w:sz w:val="32"/>
          <w:szCs w:val="32"/>
        </w:rPr>
        <w:br w:type="page"/>
      </w:r>
    </w:p>
    <w:p w14:paraId="066D6350">
      <w:pPr>
        <w:pStyle w:val="2"/>
        <w:spacing w:line="360" w:lineRule="auto"/>
      </w:pPr>
    </w:p>
    <w:p w14:paraId="640AE4C7">
      <w:pPr>
        <w:spacing w:line="360" w:lineRule="auto"/>
        <w:sectPr>
          <w:headerReference r:id="rId3" w:type="default"/>
          <w:pgSz w:w="11907" w:h="16839"/>
          <w:pgMar w:top="1432" w:right="1389" w:bottom="1201" w:left="1389" w:header="852" w:footer="1021" w:gutter="0"/>
          <w:cols w:space="720" w:num="1"/>
        </w:sectPr>
      </w:pPr>
    </w:p>
    <w:sdt>
      <w:sdtPr>
        <w:rPr>
          <w:rFonts w:ascii="宋体" w:hAnsi="宋体" w:eastAsia="宋体"/>
        </w:rPr>
        <w:id w:val="323009654"/>
        <w15:color w:val="DBDBDB"/>
        <w:docPartObj>
          <w:docPartGallery w:val="Table of Contents"/>
          <w:docPartUnique/>
        </w:docPartObj>
      </w:sdtPr>
      <w:sdtEndPr>
        <w:rPr>
          <w:rFonts w:ascii="宋体" w:hAnsi="宋体" w:eastAsia="宋体" w:cs="宋体"/>
          <w:sz w:val="56"/>
          <w:szCs w:val="180"/>
          <w14:textOutline w14:w="6527" w14:cap="flat" w14:cmpd="sng" w14:algn="ctr">
            <w14:solidFill>
              <w14:srgbClr w14:val="000000"/>
            </w14:solidFill>
            <w14:prstDash w14:val="solid"/>
            <w14:miter w14:val="0"/>
          </w14:textOutline>
        </w:rPr>
      </w:sdtEndPr>
      <w:sdtContent>
        <w:p w14:paraId="384161A1">
          <w:pPr>
            <w:spacing w:line="360" w:lineRule="auto"/>
            <w:jc w:val="center"/>
            <w:rPr>
              <w:b/>
              <w:bCs/>
              <w:sz w:val="48"/>
              <w:szCs w:val="48"/>
            </w:rPr>
          </w:pPr>
          <w:r>
            <w:rPr>
              <w:rFonts w:ascii="宋体" w:hAnsi="宋体" w:eastAsia="宋体"/>
              <w:b/>
              <w:bCs/>
              <w:sz w:val="48"/>
              <w:szCs w:val="48"/>
            </w:rPr>
            <w:t>目录</w:t>
          </w:r>
        </w:p>
        <w:p w14:paraId="08C13AEF">
          <w:pPr>
            <w:pStyle w:val="13"/>
            <w:tabs>
              <w:tab w:val="right" w:leader="dot" w:pos="9129"/>
            </w:tabs>
            <w:spacing w:line="360" w:lineRule="auto"/>
            <w:rPr>
              <w:sz w:val="36"/>
              <w:szCs w:val="36"/>
            </w:rPr>
          </w:pP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begin"/>
          </w:r>
          <w:r>
            <w:rPr>
              <w:rFonts w:ascii="宋体" w:hAnsi="宋体" w:eastAsia="宋体" w:cs="宋体"/>
              <w:sz w:val="180"/>
              <w:szCs w:val="180"/>
              <w14:textOutline w14:w="6527" w14:cap="flat" w14:cmpd="sng" w14:algn="ctr">
                <w14:solidFill>
                  <w14:srgbClr w14:val="000000"/>
                </w14:solidFill>
                <w14:prstDash w14:val="solid"/>
                <w14:miter w14:val="0"/>
              </w14:textOutline>
            </w:rPr>
            <w:instrText xml:space="preserve">TOC \o "1-1" \h \u </w:instrText>
          </w:r>
          <w:r>
            <w:rPr>
              <w:rFonts w:ascii="宋体" w:hAnsi="宋体" w:eastAsia="宋体" w:cs="宋体"/>
              <w:sz w:val="180"/>
              <w:szCs w:val="180"/>
              <w14:textOutline w14:w="6527" w14:cap="flat" w14:cmpd="sng" w14:algn="ctr">
                <w14:solidFill>
                  <w14:srgbClr w14:val="000000"/>
                </w14:solidFill>
                <w14:prstDash w14:val="solid"/>
                <w14:miter w14:val="0"/>
              </w14:textOutline>
            </w:rPr>
            <w:fldChar w:fldCharType="separate"/>
          </w:r>
        </w:p>
        <w:p w14:paraId="2BF6A405">
          <w:pPr>
            <w:spacing w:line="360" w:lineRule="auto"/>
            <w:jc w:val="center"/>
            <w:rPr>
              <w:rFonts w:ascii="宋体" w:hAnsi="宋体" w:eastAsia="宋体" w:cs="宋体"/>
              <w:sz w:val="36"/>
              <w:szCs w:val="180"/>
              <w14:textOutline w14:w="6527" w14:cap="flat" w14:cmpd="sng" w14:algn="ctr">
                <w14:solidFill>
                  <w14:srgbClr w14:val="000000"/>
                </w14:solidFill>
                <w14:prstDash w14:val="solid"/>
                <w14:miter w14:val="0"/>
              </w14:textOutline>
            </w:rPr>
          </w:pPr>
          <w:r>
            <w:rPr>
              <w:rFonts w:ascii="宋体" w:hAnsi="宋体" w:eastAsia="宋体" w:cs="宋体"/>
              <w:sz w:val="36"/>
              <w:szCs w:val="180"/>
              <w14:textOutline w14:w="6527" w14:cap="flat" w14:cmpd="sng" w14:algn="ctr">
                <w14:solidFill>
                  <w14:srgbClr w14:val="000000"/>
                </w14:solidFill>
                <w14:prstDash w14:val="solid"/>
                <w14:miter w14:val="0"/>
              </w14:textOutline>
            </w:rPr>
            <w:fldChar w:fldCharType="end"/>
          </w:r>
        </w:p>
        <w:sdt>
          <w:sdtPr>
            <w:rPr>
              <w:rFonts w:eastAsia="宋体"/>
            </w:rPr>
            <w:id w:val="147466991"/>
            <w15:color w:val="DBDBDB"/>
            <w:docPartObj>
              <w:docPartGallery w:val="Table of Contents"/>
              <w:docPartUnique/>
            </w:docPartObj>
          </w:sdtPr>
          <w:sdtEndPr>
            <w:rPr>
              <w:rFonts w:ascii="宋体" w:hAnsi="宋体" w:eastAsia="宋体" w:cs="宋体"/>
              <w:sz w:val="32"/>
              <w:szCs w:val="160"/>
              <w14:textOutline w14:w="6527" w14:cap="flat" w14:cmpd="sng" w14:algn="ctr">
                <w14:solidFill>
                  <w14:srgbClr w14:val="000000"/>
                </w14:solidFill>
                <w14:prstDash w14:val="solid"/>
                <w14:miter w14:val="0"/>
              </w14:textOutline>
            </w:rPr>
          </w:sdtEndPr>
          <w:sdtContent>
            <w:p w14:paraId="20364623">
              <w:pPr>
                <w:spacing w:line="360" w:lineRule="auto"/>
                <w:jc w:val="center"/>
                <w:rPr>
                  <w:sz w:val="48"/>
                  <w:szCs w:val="48"/>
                </w:rPr>
              </w:pPr>
            </w:p>
            <w:p w14:paraId="0712401F">
              <w:pPr>
                <w:pStyle w:val="13"/>
                <w:tabs>
                  <w:tab w:val="right" w:leader="dot" w:pos="9129"/>
                </w:tabs>
                <w:spacing w:line="36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fldChar w:fldCharType="begin"/>
              </w:r>
              <w:r>
                <w:instrText xml:space="preserve"> HYPERLINK \l "_Toc9866" </w:instrText>
              </w:r>
              <w:r>
                <w:fldChar w:fldCharType="separate"/>
              </w:r>
              <w:r>
                <w:rPr>
                  <w:sz w:val="32"/>
                  <w:szCs w:val="32"/>
                </w:rPr>
                <w:t>一、投标邀请书</w:t>
              </w:r>
              <w:r>
                <w:rPr>
                  <w:sz w:val="32"/>
                  <w:szCs w:val="32"/>
                </w:rPr>
                <w:tab/>
              </w:r>
              <w:r>
                <w:rPr>
                  <w:rFonts w:hint="eastAsia" w:eastAsia="宋体"/>
                  <w:sz w:val="32"/>
                  <w:szCs w:val="32"/>
                </w:rPr>
                <w:t>3</w:t>
              </w:r>
              <w:r>
                <w:rPr>
                  <w:rFonts w:hint="eastAsia" w:eastAsia="宋体"/>
                  <w:sz w:val="32"/>
                  <w:szCs w:val="32"/>
                </w:rPr>
                <w:fldChar w:fldCharType="end"/>
              </w:r>
            </w:p>
            <w:p w14:paraId="41F8DCAD">
              <w:pPr>
                <w:pStyle w:val="13"/>
                <w:tabs>
                  <w:tab w:val="right" w:leader="dot" w:pos="9129"/>
                </w:tabs>
                <w:spacing w:line="360" w:lineRule="auto"/>
                <w:rPr>
                  <w:sz w:val="32"/>
                  <w:szCs w:val="32"/>
                </w:rPr>
              </w:pPr>
              <w:r>
                <w:fldChar w:fldCharType="begin"/>
              </w:r>
              <w:r>
                <w:instrText xml:space="preserve"> HYPERLINK \l "_Toc23575" </w:instrText>
              </w:r>
              <w:r>
                <w:fldChar w:fldCharType="separate"/>
              </w:r>
              <w:r>
                <w:rPr>
                  <w:sz w:val="32"/>
                  <w:szCs w:val="32"/>
                </w:rPr>
                <w:t>附件：技术</w:t>
              </w:r>
              <w:r>
                <w:rPr>
                  <w:rFonts w:hint="eastAsia" w:ascii="宋体" w:hAnsi="宋体" w:eastAsia="宋体" w:cs="宋体"/>
                  <w:sz w:val="32"/>
                  <w:szCs w:val="32"/>
                </w:rPr>
                <w:t>要求</w:t>
              </w:r>
              <w:r>
                <w:rPr>
                  <w:sz w:val="32"/>
                  <w:szCs w:val="32"/>
                </w:rPr>
                <w:tab/>
              </w:r>
              <w:r>
                <w:rPr>
                  <w:rFonts w:hint="eastAsia" w:eastAsia="宋体"/>
                  <w:sz w:val="32"/>
                  <w:szCs w:val="32"/>
                </w:rPr>
                <w:t>5</w:t>
              </w:r>
              <w:r>
                <w:rPr>
                  <w:rFonts w:hint="eastAsia" w:eastAsia="宋体"/>
                  <w:sz w:val="32"/>
                  <w:szCs w:val="32"/>
                </w:rPr>
                <w:fldChar w:fldCharType="end"/>
              </w:r>
            </w:p>
            <w:p w14:paraId="346B2BE5">
              <w:pPr>
                <w:pStyle w:val="13"/>
                <w:tabs>
                  <w:tab w:val="right" w:leader="dot" w:pos="9129"/>
                </w:tabs>
                <w:spacing w:line="360" w:lineRule="auto"/>
                <w:rPr>
                  <w:sz w:val="32"/>
                  <w:szCs w:val="32"/>
                </w:rPr>
              </w:pPr>
              <w:r>
                <w:fldChar w:fldCharType="begin"/>
              </w:r>
              <w:r>
                <w:instrText xml:space="preserve"> HYPERLINK \l "_Toc14127" </w:instrText>
              </w:r>
              <w:r>
                <w:fldChar w:fldCharType="separate"/>
              </w:r>
              <w:r>
                <w:rPr>
                  <w:sz w:val="32"/>
                  <w:szCs w:val="32"/>
                </w:rPr>
                <w:t>附件：</w:t>
              </w:r>
              <w:r>
                <w:rPr>
                  <w:rFonts w:hint="eastAsia" w:ascii="宋体" w:hAnsi="宋体" w:eastAsia="宋体" w:cs="宋体"/>
                  <w:sz w:val="32"/>
                  <w:szCs w:val="32"/>
                </w:rPr>
                <w:t>商务</w:t>
              </w:r>
              <w:r>
                <w:rPr>
                  <w:sz w:val="32"/>
                  <w:szCs w:val="32"/>
                </w:rPr>
                <w:t>要求</w:t>
              </w:r>
              <w:r>
                <w:rPr>
                  <w:sz w:val="32"/>
                  <w:szCs w:val="32"/>
                </w:rPr>
                <w:tab/>
              </w:r>
              <w:r>
                <w:rPr>
                  <w:rFonts w:hint="eastAsia" w:eastAsia="宋体"/>
                  <w:sz w:val="32"/>
                  <w:szCs w:val="32"/>
                </w:rPr>
                <w:t>8</w:t>
              </w:r>
              <w:r>
                <w:rPr>
                  <w:rFonts w:hint="eastAsia" w:eastAsia="宋体"/>
                  <w:sz w:val="32"/>
                  <w:szCs w:val="32"/>
                </w:rPr>
                <w:fldChar w:fldCharType="end"/>
              </w:r>
            </w:p>
            <w:p w14:paraId="65332014">
              <w:pPr>
                <w:pStyle w:val="13"/>
                <w:tabs>
                  <w:tab w:val="right" w:leader="dot" w:pos="9129"/>
                </w:tabs>
                <w:spacing w:line="360" w:lineRule="auto"/>
                <w:rPr>
                  <w:rFonts w:eastAsia="宋体"/>
                  <w:sz w:val="32"/>
                  <w:szCs w:val="32"/>
                </w:rPr>
              </w:pPr>
              <w:r>
                <w:fldChar w:fldCharType="begin"/>
              </w:r>
              <w:r>
                <w:instrText xml:space="preserve"> HYPERLINK \l "_Toc28318" </w:instrText>
              </w:r>
              <w:r>
                <w:fldChar w:fldCharType="separate"/>
              </w:r>
              <w:r>
                <w:rPr>
                  <w:sz w:val="32"/>
                  <w:szCs w:val="32"/>
                </w:rPr>
                <w:t>二、投标人须知</w:t>
              </w:r>
              <w:r>
                <w:rPr>
                  <w:sz w:val="32"/>
                  <w:szCs w:val="32"/>
                </w:rPr>
                <w:tab/>
              </w:r>
              <w:r>
                <w:rPr>
                  <w:rFonts w:hint="eastAsia" w:eastAsia="宋体"/>
                  <w:sz w:val="32"/>
                  <w:szCs w:val="32"/>
                </w:rPr>
                <w:t>1</w:t>
              </w:r>
              <w:r>
                <w:rPr>
                  <w:rFonts w:hint="eastAsia" w:eastAsia="宋体"/>
                  <w:sz w:val="32"/>
                  <w:szCs w:val="32"/>
                </w:rPr>
                <w:fldChar w:fldCharType="end"/>
              </w:r>
              <w:r>
                <w:rPr>
                  <w:rFonts w:hint="eastAsia" w:eastAsia="宋体"/>
                  <w:sz w:val="32"/>
                  <w:szCs w:val="32"/>
                </w:rPr>
                <w:t>0</w:t>
              </w:r>
            </w:p>
            <w:p w14:paraId="4AA9C1DC">
              <w:pPr>
                <w:widowControl w:val="0"/>
                <w:kinsoku/>
                <w:autoSpaceDE/>
                <w:autoSpaceDN/>
                <w:adjustRightInd/>
                <w:snapToGrid/>
                <w:spacing w:line="360" w:lineRule="auto"/>
                <w:jc w:val="both"/>
                <w:textAlignment w:val="auto"/>
                <w:rPr>
                  <w:rFonts w:hint="eastAsia" w:eastAsia="宋体"/>
                  <w:sz w:val="32"/>
                  <w:szCs w:val="32"/>
                  <w:lang w:eastAsia="zh-CN"/>
                </w:rPr>
              </w:pPr>
              <w:r>
                <w:rPr>
                  <w:sz w:val="32"/>
                  <w:szCs w:val="32"/>
                </w:rPr>
                <w:fldChar w:fldCharType="end"/>
              </w:r>
              <w:r>
                <w:rPr>
                  <w:rFonts w:hint="eastAsia"/>
                  <w:sz w:val="32"/>
                  <w:szCs w:val="32"/>
                </w:rPr>
                <w:t>三、设备综合评标评分标准.........................................................1</w:t>
              </w:r>
              <w:r>
                <w:rPr>
                  <w:rFonts w:hint="eastAsia" w:eastAsia="宋体"/>
                  <w:sz w:val="32"/>
                  <w:szCs w:val="32"/>
                  <w:lang w:val="en-US" w:eastAsia="zh-CN"/>
                </w:rPr>
                <w:t>3</w:t>
              </w:r>
            </w:p>
            <w:p w14:paraId="69D4EFE6">
              <w:pPr>
                <w:pStyle w:val="2"/>
                <w:ind w:left="0" w:leftChars="0" w:firstLine="0" w:firstLineChars="0"/>
                <w:rPr>
                  <w:rFonts w:hint="default" w:ascii="Arial" w:hAnsi="Arial" w:eastAsia="宋体" w:cs="Arial"/>
                  <w:snapToGrid w:val="0"/>
                  <w:color w:val="000000"/>
                  <w:sz w:val="32"/>
                  <w:szCs w:val="32"/>
                  <w:lang w:val="en-US" w:eastAsia="zh-CN" w:bidi="ar-SA"/>
                </w:rPr>
              </w:pPr>
              <w:r>
                <w:rPr>
                  <w:rFonts w:hint="eastAsia" w:eastAsia="宋体"/>
                  <w:sz w:val="32"/>
                  <w:szCs w:val="32"/>
                  <w:lang w:val="en-US" w:eastAsia="zh-CN"/>
                </w:rPr>
                <w:t>四、</w:t>
              </w:r>
              <w:r>
                <w:rPr>
                  <w:rFonts w:hint="eastAsia" w:ascii="Arial" w:hAnsi="Arial" w:eastAsia="Arial" w:cs="Arial"/>
                  <w:snapToGrid w:val="0"/>
                  <w:color w:val="000000"/>
                  <w:sz w:val="32"/>
                  <w:szCs w:val="32"/>
                  <w:lang w:val="en-US" w:eastAsia="zh-CN" w:bidi="ar-SA"/>
                </w:rPr>
                <w:t>合同（参考文本）</w:t>
              </w:r>
              <w:r>
                <w:rPr>
                  <w:rFonts w:hint="eastAsia"/>
                  <w:sz w:val="32"/>
                  <w:szCs w:val="32"/>
                </w:rPr>
                <w:t>...............................................................</w:t>
              </w:r>
              <w:r>
                <w:rPr>
                  <w:rFonts w:hint="eastAsia" w:eastAsia="宋体"/>
                  <w:sz w:val="32"/>
                  <w:szCs w:val="32"/>
                  <w:lang w:val="en-US" w:eastAsia="zh-CN"/>
                </w:rPr>
                <w:t>15</w:t>
              </w:r>
            </w:p>
            <w:p w14:paraId="3291A36F">
              <w:pPr>
                <w:pStyle w:val="13"/>
                <w:tabs>
                  <w:tab w:val="right" w:leader="dot" w:pos="9129"/>
                </w:tabs>
                <w:spacing w:line="360" w:lineRule="auto"/>
                <w:rPr>
                  <w:rFonts w:ascii="宋体" w:hAnsi="宋体" w:eastAsia="宋体" w:cs="宋体"/>
                  <w:sz w:val="32"/>
                  <w:szCs w:val="160"/>
                  <w14:textOutline w14:w="6527" w14:cap="flat" w14:cmpd="sng" w14:algn="ctr">
                    <w14:solidFill>
                      <w14:srgbClr w14:val="000000"/>
                    </w14:solidFill>
                    <w14:prstDash w14:val="solid"/>
                    <w14:miter w14:val="0"/>
                  </w14:textOutline>
                </w:rPr>
              </w:pPr>
            </w:p>
          </w:sdtContent>
        </w:sdt>
        <w:p w14:paraId="4E7430FD">
          <w:pPr>
            <w:spacing w:before="153" w:line="360" w:lineRule="auto"/>
            <w:rPr>
              <w:rFonts w:ascii="宋体" w:hAnsi="宋体" w:eastAsia="宋体" w:cs="宋体"/>
              <w:sz w:val="180"/>
              <w:szCs w:val="180"/>
              <w14:textOutline w14:w="6527" w14:cap="flat" w14:cmpd="sng" w14:algn="ctr">
                <w14:solidFill>
                  <w14:srgbClr w14:val="000000"/>
                </w14:solidFill>
                <w14:prstDash w14:val="solid"/>
                <w14:miter w14:val="0"/>
              </w14:textOutline>
            </w:rPr>
            <w:sectPr>
              <w:headerReference r:id="rId4" w:type="default"/>
              <w:footerReference r:id="rId5" w:type="default"/>
              <w:type w:val="continuous"/>
              <w:pgSz w:w="11907" w:h="16839"/>
              <w:pgMar w:top="1432" w:right="1389" w:bottom="1201" w:left="1389" w:header="567" w:footer="1021" w:gutter="0"/>
              <w:cols w:equalWidth="0" w:num="1">
                <w:col w:w="9128"/>
              </w:cols>
            </w:sectPr>
          </w:pPr>
        </w:p>
      </w:sdtContent>
    </w:sdt>
    <w:p w14:paraId="521A7D8D">
      <w:pPr>
        <w:spacing w:before="240" w:beforeLines="100" w:line="360" w:lineRule="auto"/>
        <w:jc w:val="both"/>
        <w:outlineLvl w:val="0"/>
        <w:rPr>
          <w:rFonts w:ascii="宋体" w:hAnsi="宋体" w:eastAsia="宋体" w:cs="宋体"/>
          <w:b/>
          <w:sz w:val="36"/>
          <w:szCs w:val="36"/>
          <w14:textOutline w14:w="6527" w14:cap="flat" w14:cmpd="sng" w14:algn="ctr">
            <w14:solidFill>
              <w14:srgbClr w14:val="000000"/>
            </w14:solidFill>
            <w14:prstDash w14:val="solid"/>
            <w14:miter w14:val="0"/>
          </w14:textOutline>
        </w:rPr>
      </w:pPr>
      <w:bookmarkStart w:id="3" w:name="_Toc27877"/>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一、投标邀请书</w:t>
      </w:r>
      <w:bookmarkEnd w:id="3"/>
    </w:p>
    <w:p w14:paraId="782D0605">
      <w:pPr>
        <w:pStyle w:val="2"/>
        <w:spacing w:line="360" w:lineRule="auto"/>
        <w:rPr>
          <w:rFonts w:hint="eastAsia" w:eastAsia="宋体"/>
          <w:lang w:eastAsia="zh-CN"/>
        </w:rPr>
      </w:pPr>
      <w:r>
        <w:rPr>
          <w:rFonts w:hint="eastAsia" w:ascii="宋体" w:hAnsi="宋体" w:eastAsia="宋体" w:cs="宋体"/>
          <w:spacing w:val="0"/>
          <w:sz w:val="24"/>
          <w:szCs w:val="24"/>
        </w:rPr>
        <w:t> 招标人</w:t>
      </w:r>
      <w:r>
        <w:rPr>
          <w:rFonts w:hint="eastAsia" w:ascii="宋体" w:hAnsi="宋体" w:eastAsia="宋体" w:cs="宋体"/>
          <w:spacing w:val="0"/>
          <w:sz w:val="24"/>
          <w:szCs w:val="24"/>
          <w:u w:val="single"/>
          <w:lang w:val="en-US" w:eastAsia="zh-CN"/>
        </w:rPr>
        <w:t>中国机械总院集团海西（福建）分院有限公司</w:t>
      </w:r>
      <w:r>
        <w:rPr>
          <w:rFonts w:hint="eastAsia" w:ascii="宋体" w:hAnsi="宋体" w:eastAsia="宋体" w:cs="宋体"/>
          <w:spacing w:val="0"/>
          <w:sz w:val="24"/>
          <w:szCs w:val="24"/>
        </w:rPr>
        <w:t>已根据采购相关法律法规，经相应程序确定采用</w:t>
      </w:r>
      <w:r>
        <w:rPr>
          <w:rFonts w:hint="eastAsia" w:ascii="宋体" w:hAnsi="宋体" w:eastAsia="宋体" w:cs="宋体"/>
          <w:spacing w:val="0"/>
          <w:sz w:val="24"/>
          <w:szCs w:val="24"/>
          <w:u w:val="single"/>
        </w:rPr>
        <w:t> </w:t>
      </w:r>
      <w:r>
        <w:rPr>
          <w:rFonts w:hint="eastAsia" w:ascii="宋体" w:hAnsi="宋体" w:eastAsia="宋体" w:cs="宋体"/>
          <w:spacing w:val="0"/>
          <w:sz w:val="24"/>
          <w:szCs w:val="24"/>
          <w:u w:val="single"/>
          <w:lang w:val="en-US" w:eastAsia="zh-CN"/>
        </w:rPr>
        <w:t>公开招标的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rPr>
        <w:t>方式组织</w:t>
      </w:r>
      <w:r>
        <w:rPr>
          <w:rFonts w:ascii="宋体" w:hAnsi="宋体" w:eastAsia="宋体" w:cs="宋体"/>
          <w:b w:val="0"/>
          <w:bCs w:val="0"/>
          <w:color w:val="000000"/>
          <w:sz w:val="24"/>
          <w:szCs w:val="24"/>
          <w:u w:val="single"/>
        </w:rPr>
        <w:t>一体机服务器塔式工作站电脑</w:t>
      </w:r>
      <w:r>
        <w:rPr>
          <w:rFonts w:hint="eastAsia" w:ascii="宋体" w:hAnsi="宋体" w:eastAsia="宋体" w:cs="宋体"/>
          <w:spacing w:val="0"/>
          <w:sz w:val="24"/>
          <w:szCs w:val="24"/>
          <w:u w:val="single" w:color="auto"/>
          <w:lang w:val="en-US" w:eastAsia="zh-CN"/>
        </w:rPr>
        <w:t>采购</w:t>
      </w:r>
      <w:r>
        <w:rPr>
          <w:rFonts w:hint="eastAsia" w:ascii="宋体" w:hAnsi="宋体" w:eastAsia="宋体" w:cs="宋体"/>
          <w:spacing w:val="0"/>
          <w:sz w:val="24"/>
          <w:szCs w:val="24"/>
        </w:rPr>
        <w:t>项目，现欢迎合格的供应商前来参加</w:t>
      </w:r>
      <w:r>
        <w:rPr>
          <w:rFonts w:hint="eastAsia" w:ascii="宋体" w:hAnsi="宋体" w:eastAsia="宋体" w:cs="宋体"/>
          <w:spacing w:val="0"/>
          <w:sz w:val="24"/>
          <w:szCs w:val="24"/>
          <w:lang w:eastAsia="zh-CN"/>
        </w:rPr>
        <w:t>。</w:t>
      </w:r>
    </w:p>
    <w:p w14:paraId="7B4D1D90">
      <w:pPr>
        <w:spacing w:before="161" w:line="360" w:lineRule="auto"/>
        <w:ind w:firstLine="480" w:firstLineChars="200"/>
        <w:rPr>
          <w:rFonts w:ascii="宋体" w:hAnsi="宋体" w:eastAsia="宋体" w:cs="宋体"/>
          <w:sz w:val="24"/>
          <w:szCs w:val="24"/>
        </w:rPr>
      </w:pPr>
      <w:r>
        <w:rPr>
          <w:rFonts w:hint="eastAsia" w:ascii="宋体" w:hAnsi="宋体" w:eastAsia="宋体" w:cs="宋体"/>
          <w:sz w:val="24"/>
          <w:szCs w:val="24"/>
        </w:rPr>
        <w:t>1、招标内容、数量及型号规格（见下表）</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4"/>
        <w:gridCol w:w="3740"/>
        <w:gridCol w:w="1225"/>
        <w:gridCol w:w="808"/>
        <w:gridCol w:w="1412"/>
        <w:gridCol w:w="1107"/>
      </w:tblGrid>
      <w:tr w14:paraId="1706C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57A87CEC">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序号</w:t>
            </w:r>
          </w:p>
        </w:tc>
        <w:tc>
          <w:tcPr>
            <w:tcW w:w="3740" w:type="dxa"/>
            <w:tcBorders>
              <w:top w:val="single" w:color="auto" w:sz="4" w:space="0"/>
              <w:left w:val="single" w:color="auto" w:sz="4" w:space="0"/>
              <w:bottom w:val="single" w:color="auto" w:sz="4" w:space="0"/>
              <w:right w:val="single" w:color="auto" w:sz="4" w:space="0"/>
            </w:tcBorders>
            <w:vAlign w:val="center"/>
          </w:tcPr>
          <w:p w14:paraId="3CBEAAB8">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名称</w:t>
            </w:r>
          </w:p>
        </w:tc>
        <w:tc>
          <w:tcPr>
            <w:tcW w:w="1225" w:type="dxa"/>
            <w:tcBorders>
              <w:top w:val="single" w:color="auto" w:sz="4" w:space="0"/>
              <w:left w:val="single" w:color="auto" w:sz="4" w:space="0"/>
              <w:bottom w:val="single" w:color="auto" w:sz="4" w:space="0"/>
              <w:right w:val="single" w:color="auto" w:sz="4" w:space="0"/>
            </w:tcBorders>
            <w:vAlign w:val="center"/>
          </w:tcPr>
          <w:p w14:paraId="7A34E911">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数量</w:t>
            </w:r>
          </w:p>
        </w:tc>
        <w:tc>
          <w:tcPr>
            <w:tcW w:w="808" w:type="dxa"/>
            <w:tcBorders>
              <w:top w:val="single" w:color="auto" w:sz="4" w:space="0"/>
              <w:left w:val="single" w:color="auto" w:sz="4" w:space="0"/>
              <w:bottom w:val="single" w:color="auto" w:sz="4" w:space="0"/>
              <w:right w:val="single" w:color="auto" w:sz="4" w:space="0"/>
            </w:tcBorders>
            <w:vAlign w:val="center"/>
          </w:tcPr>
          <w:p w14:paraId="2910A6DF">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单位</w:t>
            </w:r>
          </w:p>
        </w:tc>
        <w:tc>
          <w:tcPr>
            <w:tcW w:w="1412" w:type="dxa"/>
            <w:tcBorders>
              <w:top w:val="single" w:color="auto" w:sz="4" w:space="0"/>
              <w:left w:val="single" w:color="auto" w:sz="4" w:space="0"/>
              <w:bottom w:val="single" w:color="auto" w:sz="4" w:space="0"/>
              <w:right w:val="single" w:color="auto" w:sz="4" w:space="0"/>
            </w:tcBorders>
            <w:vAlign w:val="center"/>
          </w:tcPr>
          <w:p w14:paraId="5193DB32">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交货期</w:t>
            </w:r>
          </w:p>
        </w:tc>
        <w:tc>
          <w:tcPr>
            <w:tcW w:w="1107" w:type="dxa"/>
            <w:tcBorders>
              <w:top w:val="single" w:color="auto" w:sz="4" w:space="0"/>
              <w:left w:val="single" w:color="auto" w:sz="4" w:space="0"/>
              <w:bottom w:val="single" w:color="auto" w:sz="4" w:space="0"/>
              <w:right w:val="single" w:color="auto" w:sz="4" w:space="0"/>
            </w:tcBorders>
            <w:vAlign w:val="center"/>
          </w:tcPr>
          <w:p w14:paraId="50C3F593">
            <w:pPr>
              <w:spacing w:line="24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质量及其他要求</w:t>
            </w:r>
          </w:p>
        </w:tc>
      </w:tr>
      <w:tr w14:paraId="19260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1D973F25">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1</w:t>
            </w:r>
          </w:p>
        </w:tc>
        <w:tc>
          <w:tcPr>
            <w:tcW w:w="3740" w:type="dxa"/>
            <w:tcBorders>
              <w:top w:val="single" w:color="auto" w:sz="4" w:space="0"/>
              <w:left w:val="single" w:color="auto" w:sz="4" w:space="0"/>
              <w:bottom w:val="single" w:color="auto" w:sz="4" w:space="0"/>
              <w:right w:val="single" w:color="auto" w:sz="4" w:space="0"/>
            </w:tcBorders>
            <w:vAlign w:val="center"/>
          </w:tcPr>
          <w:p w14:paraId="2AE03406">
            <w:pPr>
              <w:spacing w:line="360" w:lineRule="auto"/>
              <w:jc w:val="center"/>
              <w:rPr>
                <w:rFonts w:hint="eastAsia" w:ascii="宋体" w:hAnsi="宋体" w:eastAsia="宋体" w:cs="宋体"/>
                <w:b w:val="0"/>
                <w:bCs w:val="0"/>
                <w:sz w:val="24"/>
                <w:szCs w:val="24"/>
                <w:highlight w:val="none"/>
                <w:lang w:val="en-US" w:eastAsia="zh-CN"/>
              </w:rPr>
            </w:pPr>
            <w:r>
              <w:rPr>
                <w:rFonts w:ascii="宋体" w:hAnsi="宋体" w:eastAsia="宋体" w:cs="宋体"/>
                <w:b w:val="0"/>
                <w:bCs w:val="0"/>
                <w:color w:val="000000"/>
                <w:sz w:val="24"/>
                <w:szCs w:val="24"/>
              </w:rPr>
              <w:t>（高配）高性能个人工作站</w:t>
            </w:r>
            <w:r>
              <w:rPr>
                <w:rFonts w:hint="eastAsia" w:ascii="宋体" w:hAnsi="宋体" w:eastAsia="宋体" w:cs="宋体"/>
                <w:b w:val="0"/>
                <w:bCs w:val="0"/>
                <w:color w:val="000000"/>
                <w:sz w:val="24"/>
                <w:szCs w:val="24"/>
                <w:lang w:val="en-US" w:eastAsia="zh-CN"/>
              </w:rPr>
              <w:t>电脑</w:t>
            </w:r>
          </w:p>
        </w:tc>
        <w:tc>
          <w:tcPr>
            <w:tcW w:w="1225" w:type="dxa"/>
            <w:tcBorders>
              <w:top w:val="single" w:color="auto" w:sz="4" w:space="0"/>
              <w:left w:val="single" w:color="auto" w:sz="4" w:space="0"/>
              <w:bottom w:val="single" w:color="auto" w:sz="4" w:space="0"/>
              <w:right w:val="single" w:color="auto" w:sz="4" w:space="0"/>
            </w:tcBorders>
            <w:vAlign w:val="center"/>
          </w:tcPr>
          <w:p w14:paraId="64554425">
            <w:pPr>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808" w:type="dxa"/>
            <w:tcBorders>
              <w:top w:val="single" w:color="auto" w:sz="4" w:space="0"/>
              <w:left w:val="single" w:color="auto" w:sz="4" w:space="0"/>
              <w:bottom w:val="single" w:color="auto" w:sz="4" w:space="0"/>
              <w:right w:val="single" w:color="auto" w:sz="4" w:space="0"/>
            </w:tcBorders>
            <w:vAlign w:val="center"/>
          </w:tcPr>
          <w:p w14:paraId="3D93514E">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套</w:t>
            </w:r>
          </w:p>
        </w:tc>
        <w:tc>
          <w:tcPr>
            <w:tcW w:w="1412" w:type="dxa"/>
            <w:vMerge w:val="restart"/>
            <w:tcBorders>
              <w:top w:val="single" w:color="auto" w:sz="4" w:space="0"/>
              <w:left w:val="single" w:color="auto" w:sz="4" w:space="0"/>
              <w:right w:val="single" w:color="auto" w:sz="4" w:space="0"/>
            </w:tcBorders>
            <w:vAlign w:val="center"/>
          </w:tcPr>
          <w:p w14:paraId="7FA9E467">
            <w:pPr>
              <w:spacing w:line="360" w:lineRule="auto"/>
              <w:jc w:val="center"/>
              <w:rPr>
                <w:rFonts w:hint="default"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20天</w:t>
            </w:r>
          </w:p>
        </w:tc>
        <w:tc>
          <w:tcPr>
            <w:tcW w:w="1107" w:type="dxa"/>
            <w:vMerge w:val="restart"/>
            <w:tcBorders>
              <w:top w:val="single" w:color="auto" w:sz="4" w:space="0"/>
              <w:left w:val="single" w:color="auto" w:sz="4" w:space="0"/>
              <w:right w:val="single" w:color="auto" w:sz="4" w:space="0"/>
            </w:tcBorders>
            <w:vAlign w:val="center"/>
          </w:tcPr>
          <w:p w14:paraId="53107744">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详见附件</w:t>
            </w:r>
          </w:p>
        </w:tc>
      </w:tr>
      <w:tr w14:paraId="69AF5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1024" w:type="dxa"/>
            <w:tcBorders>
              <w:top w:val="single" w:color="auto" w:sz="4" w:space="0"/>
              <w:left w:val="single" w:color="auto" w:sz="4" w:space="0"/>
              <w:bottom w:val="single" w:color="auto" w:sz="4" w:space="0"/>
              <w:right w:val="single" w:color="auto" w:sz="4" w:space="0"/>
            </w:tcBorders>
            <w:vAlign w:val="center"/>
          </w:tcPr>
          <w:p w14:paraId="40ACD87A">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3740" w:type="dxa"/>
            <w:tcBorders>
              <w:top w:val="single" w:color="auto" w:sz="4" w:space="0"/>
              <w:left w:val="single" w:color="auto" w:sz="4" w:space="0"/>
              <w:bottom w:val="single" w:color="auto" w:sz="4" w:space="0"/>
              <w:right w:val="single" w:color="auto" w:sz="4" w:space="0"/>
            </w:tcBorders>
            <w:vAlign w:val="center"/>
          </w:tcPr>
          <w:p w14:paraId="65D6257F">
            <w:pPr>
              <w:spacing w:line="360" w:lineRule="auto"/>
              <w:jc w:val="center"/>
              <w:rPr>
                <w:rFonts w:hint="eastAsia" w:ascii="宋体" w:hAnsi="宋体" w:eastAsia="宋体" w:cs="宋体"/>
                <w:b w:val="0"/>
                <w:bCs w:val="0"/>
                <w:sz w:val="24"/>
                <w:szCs w:val="24"/>
                <w:highlight w:val="none"/>
                <w:lang w:val="en-US" w:eastAsia="zh-CN"/>
              </w:rPr>
            </w:pPr>
            <w:r>
              <w:rPr>
                <w:rFonts w:ascii="宋体" w:hAnsi="宋体" w:eastAsia="宋体" w:cs="宋体"/>
                <w:b w:val="0"/>
                <w:bCs w:val="0"/>
                <w:color w:val="000000"/>
                <w:sz w:val="24"/>
                <w:szCs w:val="24"/>
              </w:rPr>
              <w:t>（普配）性价比个人工作站</w:t>
            </w:r>
            <w:r>
              <w:rPr>
                <w:rFonts w:hint="eastAsia" w:ascii="宋体" w:hAnsi="宋体" w:eastAsia="宋体" w:cs="宋体"/>
                <w:b w:val="0"/>
                <w:bCs w:val="0"/>
                <w:color w:val="000000"/>
                <w:sz w:val="24"/>
                <w:szCs w:val="24"/>
                <w:lang w:val="en-US" w:eastAsia="zh-CN"/>
              </w:rPr>
              <w:t>电脑</w:t>
            </w:r>
          </w:p>
        </w:tc>
        <w:tc>
          <w:tcPr>
            <w:tcW w:w="1225" w:type="dxa"/>
            <w:tcBorders>
              <w:top w:val="single" w:color="auto" w:sz="4" w:space="0"/>
              <w:left w:val="single" w:color="auto" w:sz="4" w:space="0"/>
              <w:bottom w:val="single" w:color="auto" w:sz="4" w:space="0"/>
              <w:right w:val="single" w:color="auto" w:sz="4" w:space="0"/>
            </w:tcBorders>
            <w:vAlign w:val="center"/>
          </w:tcPr>
          <w:p w14:paraId="1B09C508">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808" w:type="dxa"/>
            <w:tcBorders>
              <w:top w:val="single" w:color="auto" w:sz="4" w:space="0"/>
              <w:left w:val="single" w:color="auto" w:sz="4" w:space="0"/>
              <w:bottom w:val="single" w:color="auto" w:sz="4" w:space="0"/>
              <w:right w:val="single" w:color="auto" w:sz="4" w:space="0"/>
            </w:tcBorders>
            <w:vAlign w:val="center"/>
          </w:tcPr>
          <w:p w14:paraId="143844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套</w:t>
            </w:r>
          </w:p>
        </w:tc>
        <w:tc>
          <w:tcPr>
            <w:tcW w:w="1412" w:type="dxa"/>
            <w:vMerge w:val="continue"/>
            <w:tcBorders>
              <w:left w:val="single" w:color="auto" w:sz="4" w:space="0"/>
              <w:right w:val="single" w:color="auto" w:sz="4" w:space="0"/>
            </w:tcBorders>
            <w:vAlign w:val="center"/>
          </w:tcPr>
          <w:p w14:paraId="6667EBE9">
            <w:pPr>
              <w:spacing w:line="360" w:lineRule="auto"/>
              <w:jc w:val="center"/>
              <w:rPr>
                <w:rFonts w:hint="eastAsia" w:ascii="宋体" w:hAnsi="宋体" w:eastAsia="宋体" w:cs="宋体"/>
                <w:sz w:val="24"/>
                <w:szCs w:val="24"/>
                <w:highlight w:val="none"/>
                <w:lang w:val="en-US" w:eastAsia="zh-CN"/>
              </w:rPr>
            </w:pPr>
          </w:p>
        </w:tc>
        <w:tc>
          <w:tcPr>
            <w:tcW w:w="1107" w:type="dxa"/>
            <w:vMerge w:val="continue"/>
            <w:tcBorders>
              <w:left w:val="single" w:color="auto" w:sz="4" w:space="0"/>
              <w:right w:val="single" w:color="auto" w:sz="4" w:space="0"/>
            </w:tcBorders>
            <w:vAlign w:val="center"/>
          </w:tcPr>
          <w:p w14:paraId="03C12A50">
            <w:pPr>
              <w:spacing w:line="360" w:lineRule="auto"/>
              <w:jc w:val="center"/>
              <w:rPr>
                <w:rFonts w:hint="eastAsia" w:ascii="宋体" w:hAnsi="宋体" w:eastAsia="宋体" w:cs="宋体"/>
                <w:sz w:val="24"/>
                <w:szCs w:val="24"/>
                <w:highlight w:val="none"/>
              </w:rPr>
            </w:pPr>
          </w:p>
        </w:tc>
      </w:tr>
    </w:tbl>
    <w:p w14:paraId="2208FD2F">
      <w:pPr>
        <w:pStyle w:val="2"/>
        <w:rPr>
          <w:rFonts w:ascii="宋体" w:hAnsi="宋体" w:eastAsia="宋体" w:cs="宋体"/>
          <w:sz w:val="24"/>
          <w:szCs w:val="24"/>
          <w:highlight w:val="none"/>
        </w:rPr>
      </w:pPr>
      <w:r>
        <w:rPr>
          <w:rFonts w:hint="eastAsia" w:ascii="宋体" w:hAnsi="宋体" w:eastAsia="宋体" w:cs="宋体"/>
          <w:snapToGrid w:val="0"/>
          <w:color w:val="000000"/>
          <w:sz w:val="24"/>
          <w:szCs w:val="24"/>
          <w:highlight w:val="none"/>
          <w:lang w:val="en-US" w:eastAsia="zh-CN" w:bidi="ar-SA"/>
        </w:rPr>
        <w:t>(具体相关信息如技术参数、规格、质量标准、包装、运输费等要求请与我单位相关人员联系，联系人:邓晓清  联系电话:13950966034)</w:t>
      </w:r>
    </w:p>
    <w:p w14:paraId="1498D03E">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2、交货地点：中国机械总院集团海西（福建）分院有限公司指定地点。</w:t>
      </w:r>
    </w:p>
    <w:p w14:paraId="02B5A83B">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3、投标截止时间：202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10日 下午14:30</w:t>
      </w:r>
      <w:r>
        <w:rPr>
          <w:rFonts w:hint="eastAsia" w:ascii="宋体" w:hAnsi="宋体" w:eastAsia="宋体" w:cs="宋体"/>
          <w:sz w:val="24"/>
          <w:szCs w:val="24"/>
          <w:highlight w:val="none"/>
        </w:rPr>
        <w:t>。</w:t>
      </w:r>
    </w:p>
    <w:p w14:paraId="6A9E30FF">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4、投标文件的递交：拟参加本次投标的单位请于投标截止时间之前，将密封并加盖公章的文件袋，用特快专递方式邮寄到我单位（投标文件正本一份，副本四份），原则上不接受当面递送。我们将在投标截止时间后，组织开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开标时间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10日下午14:30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开标地点：海西分院321会议室。</w:t>
      </w:r>
    </w:p>
    <w:p w14:paraId="39EDF670">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5、相关要求：</w:t>
      </w:r>
    </w:p>
    <w:p w14:paraId="1E1877CA">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报价单需按照我公司提供的样表填写，特殊情况可稍作调整，内容必须填写完整、真实和准确。除投标报价表外，不得对文件格式和内容进行修改，如发现投标文件未按我公司提供的招标文件格式填写，将视为废标。</w:t>
      </w:r>
    </w:p>
    <w:p w14:paraId="74F84861">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密封文件袋上必须标注项目名称和投标单位名称,并注明“正式开标前，不得开启”字样。</w:t>
      </w:r>
    </w:p>
    <w:p w14:paraId="5CD01CA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投标人投标时应提供加盖单位公章的项目技术方案、供货业绩及营业执照副本、资质证书、安全生产许可证等证书复印件。</w:t>
      </w:r>
    </w:p>
    <w:p w14:paraId="66658065">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6、凡对本次招标的有关事项需要咨询或有异议时，请在202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10日</w:t>
      </w:r>
      <w:r>
        <w:rPr>
          <w:rFonts w:hint="eastAsia" w:ascii="宋体" w:hAnsi="宋体" w:eastAsia="宋体" w:cs="宋体"/>
          <w:sz w:val="24"/>
          <w:szCs w:val="24"/>
          <w:highlight w:val="none"/>
        </w:rPr>
        <w:t>前与相关负责人联系。关于评标结果，我们将会在评标结束之后第一时间告知。</w:t>
      </w:r>
    </w:p>
    <w:p w14:paraId="38943C49">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7、联系方式：</w:t>
      </w:r>
    </w:p>
    <w:p w14:paraId="4397687F">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招标人：中国机械总院集团海西（福建）分院有限公司</w:t>
      </w:r>
    </w:p>
    <w:p w14:paraId="2DA56271">
      <w:pPr>
        <w:tabs>
          <w:tab w:val="left" w:pos="1446"/>
        </w:tabs>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李浩东</w:t>
      </w:r>
    </w:p>
    <w:p w14:paraId="48631A7D">
      <w:pPr>
        <w:tabs>
          <w:tab w:val="left" w:pos="1446"/>
        </w:tabs>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18707194032</w:t>
      </w:r>
    </w:p>
    <w:p w14:paraId="704CF625">
      <w:pPr>
        <w:tabs>
          <w:tab w:val="left" w:pos="1446"/>
        </w:tabs>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纪检监督电话：0598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5053289</w:t>
      </w:r>
    </w:p>
    <w:p w14:paraId="2EE26BB4">
      <w:pPr>
        <w:tabs>
          <w:tab w:val="left" w:pos="1446"/>
        </w:tabs>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地址：福建省三明市沙县区金沙园开发区创新东路413号</w:t>
      </w:r>
    </w:p>
    <w:p w14:paraId="4903E94E">
      <w:pPr>
        <w:pStyle w:val="2"/>
        <w:spacing w:line="360" w:lineRule="auto"/>
        <w:ind w:firstLine="480"/>
        <w:rPr>
          <w:sz w:val="24"/>
          <w:szCs w:val="24"/>
          <w:highlight w:val="none"/>
        </w:rPr>
      </w:pPr>
    </w:p>
    <w:p w14:paraId="6F19CD8B">
      <w:pPr>
        <w:widowControl w:val="0"/>
        <w:kinsoku/>
        <w:adjustRightInd/>
        <w:snapToGrid/>
        <w:spacing w:line="360" w:lineRule="auto"/>
        <w:ind w:firstLine="468" w:firstLineChars="200"/>
        <w:textAlignment w:val="auto"/>
        <w:rPr>
          <w:rFonts w:eastAsia="宋体"/>
          <w:spacing w:val="-3"/>
          <w:sz w:val="24"/>
          <w:szCs w:val="24"/>
        </w:rPr>
      </w:pPr>
      <w:r>
        <w:rPr>
          <w:spacing w:val="-3"/>
          <w:sz w:val="24"/>
          <w:szCs w:val="24"/>
        </w:rPr>
        <w:t>附件：</w:t>
      </w:r>
      <w:r>
        <w:rPr>
          <w:rFonts w:hint="eastAsia" w:eastAsia="宋体"/>
          <w:spacing w:val="-3"/>
          <w:sz w:val="24"/>
          <w:szCs w:val="24"/>
        </w:rPr>
        <w:t>《</w:t>
      </w:r>
      <w:r>
        <w:rPr>
          <w:spacing w:val="-3"/>
          <w:sz w:val="24"/>
          <w:szCs w:val="24"/>
        </w:rPr>
        <w:t>技术</w:t>
      </w:r>
      <w:r>
        <w:rPr>
          <w:rFonts w:hint="eastAsia" w:eastAsia="宋体"/>
          <w:spacing w:val="-3"/>
          <w:sz w:val="24"/>
          <w:szCs w:val="24"/>
          <w:lang w:val="en-US" w:eastAsia="zh-CN"/>
        </w:rPr>
        <w:t>要求</w:t>
      </w:r>
      <w:r>
        <w:rPr>
          <w:rFonts w:hint="eastAsia" w:eastAsia="宋体"/>
          <w:spacing w:val="-3"/>
          <w:sz w:val="24"/>
          <w:szCs w:val="24"/>
        </w:rPr>
        <w:t>》</w:t>
      </w:r>
    </w:p>
    <w:p w14:paraId="14E0962A">
      <w:pPr>
        <w:pStyle w:val="2"/>
        <w:spacing w:line="360" w:lineRule="auto"/>
        <w:ind w:firstLine="1170" w:firstLineChars="500"/>
        <w:rPr>
          <w:rFonts w:eastAsia="宋体"/>
        </w:rPr>
      </w:pPr>
      <w:r>
        <w:rPr>
          <w:rFonts w:hint="eastAsia" w:eastAsia="宋体"/>
          <w:spacing w:val="-3"/>
          <w:sz w:val="24"/>
          <w:szCs w:val="24"/>
        </w:rPr>
        <w:t>《</w:t>
      </w:r>
      <w:r>
        <w:rPr>
          <w:rFonts w:hint="eastAsia" w:eastAsia="宋体"/>
          <w:spacing w:val="-3"/>
          <w:sz w:val="24"/>
          <w:szCs w:val="24"/>
          <w:lang w:val="en-US" w:eastAsia="zh-CN"/>
        </w:rPr>
        <w:t>商务</w:t>
      </w:r>
      <w:r>
        <w:rPr>
          <w:rFonts w:hint="eastAsia" w:eastAsia="宋体"/>
          <w:spacing w:val="-3"/>
          <w:sz w:val="24"/>
          <w:szCs w:val="24"/>
        </w:rPr>
        <w:t>要求》</w:t>
      </w:r>
    </w:p>
    <w:p w14:paraId="782BA71A">
      <w:pPr>
        <w:tabs>
          <w:tab w:val="left" w:pos="1446"/>
        </w:tabs>
        <w:spacing w:line="360" w:lineRule="auto"/>
        <w:ind w:left="112" w:right="26" w:firstLine="490"/>
        <w:jc w:val="right"/>
        <w:rPr>
          <w:rFonts w:ascii="宋体" w:hAnsi="宋体" w:eastAsia="宋体" w:cs="宋体"/>
          <w:sz w:val="24"/>
          <w:szCs w:val="24"/>
        </w:rPr>
      </w:pPr>
    </w:p>
    <w:p w14:paraId="6C375753">
      <w:pPr>
        <w:pStyle w:val="2"/>
        <w:rPr>
          <w:rFonts w:ascii="宋体" w:hAnsi="宋体" w:eastAsia="宋体" w:cs="宋体"/>
          <w:sz w:val="24"/>
          <w:szCs w:val="24"/>
        </w:rPr>
      </w:pPr>
    </w:p>
    <w:p w14:paraId="61735A49">
      <w:pPr>
        <w:pStyle w:val="2"/>
        <w:rPr>
          <w:rFonts w:ascii="宋体" w:hAnsi="宋体" w:eastAsia="宋体" w:cs="宋体"/>
          <w:sz w:val="24"/>
          <w:szCs w:val="24"/>
        </w:rPr>
      </w:pPr>
    </w:p>
    <w:p w14:paraId="0E4FED00">
      <w:pPr>
        <w:tabs>
          <w:tab w:val="left" w:pos="1446"/>
        </w:tabs>
        <w:spacing w:line="360" w:lineRule="auto"/>
        <w:ind w:left="112" w:right="26" w:firstLine="490"/>
        <w:jc w:val="right"/>
        <w:rPr>
          <w:rFonts w:hint="eastAsia" w:ascii="宋体" w:hAnsi="宋体" w:eastAsia="宋体" w:cs="宋体"/>
          <w:sz w:val="24"/>
          <w:szCs w:val="24"/>
          <w:lang w:eastAsia="zh-CN"/>
        </w:rPr>
      </w:pPr>
      <w:r>
        <w:rPr>
          <w:rFonts w:hint="eastAsia" w:ascii="宋体" w:hAnsi="宋体" w:eastAsia="宋体" w:cs="宋体"/>
          <w:sz w:val="24"/>
          <w:szCs w:val="24"/>
        </w:rPr>
        <w:t>中国机械总院集团海西（福建）分院有限公司</w:t>
      </w:r>
    </w:p>
    <w:p w14:paraId="4AABAAF0">
      <w:pPr>
        <w:tabs>
          <w:tab w:val="left" w:pos="1446"/>
        </w:tabs>
        <w:spacing w:line="360" w:lineRule="auto"/>
        <w:ind w:left="112" w:right="26" w:firstLine="5349" w:firstLineChars="2229"/>
        <w:rPr>
          <w:rFonts w:ascii="宋体" w:hAnsi="宋体" w:eastAsia="宋体" w:cs="宋体"/>
          <w:sz w:val="24"/>
          <w:szCs w:val="24"/>
          <w:highlight w:val="none"/>
        </w:rPr>
      </w:pPr>
      <w:r>
        <w:rPr>
          <w:rFonts w:hint="eastAsia" w:ascii="宋体" w:hAnsi="宋体" w:eastAsia="宋体" w:cs="宋体"/>
          <w:sz w:val="24"/>
          <w:szCs w:val="24"/>
          <w:highlight w:val="none"/>
        </w:rPr>
        <w:t>招标委员会办公室</w:t>
      </w:r>
    </w:p>
    <w:p w14:paraId="5C388E14">
      <w:pPr>
        <w:tabs>
          <w:tab w:val="left" w:pos="1446"/>
        </w:tabs>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日</w:t>
      </w:r>
    </w:p>
    <w:p w14:paraId="2CAE6C9C">
      <w:pPr>
        <w:spacing w:before="79" w:line="360" w:lineRule="auto"/>
        <w:jc w:val="center"/>
        <w:rPr>
          <w:b/>
          <w:kern w:val="24"/>
          <w:sz w:val="24"/>
          <w:szCs w:val="24"/>
        </w:rPr>
      </w:pPr>
    </w:p>
    <w:p w14:paraId="55C97E1B">
      <w:pPr>
        <w:spacing w:before="79" w:line="360" w:lineRule="auto"/>
        <w:jc w:val="center"/>
        <w:rPr>
          <w:b/>
          <w:kern w:val="24"/>
          <w:sz w:val="24"/>
          <w:szCs w:val="24"/>
        </w:rPr>
      </w:pPr>
    </w:p>
    <w:p w14:paraId="735C1054">
      <w:pPr>
        <w:spacing w:line="360" w:lineRule="auto"/>
        <w:rPr>
          <w:rFonts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24"/>
          <w:szCs w:val="24"/>
          <w14:textOutline w14:w="6527" w14:cap="flat" w14:cmpd="sng" w14:algn="ctr">
            <w14:solidFill>
              <w14:srgbClr w14:val="000000"/>
            </w14:solidFill>
            <w14:prstDash w14:val="solid"/>
            <w14:miter w14:val="0"/>
          </w14:textOutline>
        </w:rPr>
        <w:br w:type="page"/>
      </w:r>
    </w:p>
    <w:p w14:paraId="45E544F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附件：技术要求</w:t>
      </w:r>
    </w:p>
    <w:p w14:paraId="320142F6">
      <w:pPr>
        <w:pStyle w:val="2"/>
        <w:bidi w:val="0"/>
        <w:ind w:left="0" w:leftChars="0" w:firstLine="0" w:firstLineChars="0"/>
        <w:rPr>
          <w:rFonts w:hint="eastAsia"/>
          <w:b/>
          <w:bCs/>
          <w:lang w:val="en-US" w:eastAsia="zh-CN"/>
        </w:rPr>
      </w:pPr>
      <w:r>
        <w:rPr>
          <w:rFonts w:hint="eastAsia"/>
          <w:b/>
          <w:bCs/>
          <w:lang w:val="en-US" w:eastAsia="zh-CN"/>
        </w:rPr>
        <w:t>一、技术参数、配置要求</w:t>
      </w:r>
    </w:p>
    <w:p w14:paraId="4A81507E">
      <w:pPr>
        <w:pStyle w:val="2"/>
        <w:numPr>
          <w:ilvl w:val="0"/>
          <w:numId w:val="0"/>
        </w:numPr>
        <w:rPr>
          <w:rFonts w:ascii="宋体" w:hAnsi="宋体" w:eastAsia="宋体" w:cs="宋体"/>
          <w:b w:val="0"/>
          <w:bCs w:val="0"/>
          <w:color w:val="000000"/>
          <w:sz w:val="22"/>
          <w:szCs w:val="22"/>
        </w:rPr>
      </w:pPr>
      <w:bookmarkStart w:id="4" w:name="_Toc14127"/>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一</w:t>
      </w:r>
      <w:r>
        <w:rPr>
          <w:rFonts w:hint="eastAsia" w:ascii="宋体" w:hAnsi="宋体" w:eastAsia="宋体" w:cs="宋体"/>
          <w:b/>
          <w:bCs/>
          <w:color w:val="000000"/>
          <w:sz w:val="24"/>
          <w:szCs w:val="24"/>
          <w:lang w:eastAsia="zh-CN"/>
        </w:rPr>
        <w:t>）</w:t>
      </w:r>
      <w:r>
        <w:rPr>
          <w:rFonts w:ascii="宋体" w:hAnsi="宋体" w:eastAsia="宋体" w:cs="宋体"/>
          <w:b/>
          <w:bCs/>
          <w:color w:val="000000"/>
          <w:sz w:val="24"/>
          <w:szCs w:val="24"/>
        </w:rPr>
        <w:t xml:space="preserve">配置 </w:t>
      </w:r>
      <w:r>
        <w:rPr>
          <w:rFonts w:hint="eastAsia" w:ascii="宋体" w:hAnsi="宋体" w:eastAsia="宋体" w:cs="宋体"/>
          <w:b/>
          <w:bCs/>
          <w:color w:val="000000"/>
          <w:sz w:val="24"/>
          <w:szCs w:val="24"/>
          <w:lang w:val="en-US" w:eastAsia="zh-CN"/>
        </w:rPr>
        <w:t>1</w:t>
      </w:r>
      <w:r>
        <w:rPr>
          <w:rFonts w:ascii="Calibri-Bold" w:hAnsi="Calibri-Bold" w:eastAsia="Calibri-Bold" w:cs="Calibri-Bold"/>
          <w:b w:val="0"/>
          <w:bCs w:val="0"/>
          <w:color w:val="000000"/>
          <w:sz w:val="24"/>
          <w:szCs w:val="24"/>
        </w:rPr>
        <w:t xml:space="preserve">: </w:t>
      </w:r>
      <w:r>
        <w:rPr>
          <w:rFonts w:ascii="宋体" w:hAnsi="宋体" w:eastAsia="宋体" w:cs="宋体"/>
          <w:b/>
          <w:bCs/>
          <w:color w:val="000000"/>
          <w:sz w:val="24"/>
          <w:szCs w:val="24"/>
        </w:rPr>
        <w:t xml:space="preserve">（高配）高性能个人工作站（适用于个人模型开发与调试） </w:t>
      </w:r>
      <w:r>
        <w:rPr>
          <w:rFonts w:ascii="宋体" w:hAnsi="宋体" w:eastAsia="宋体" w:cs="宋体"/>
          <w:b/>
          <w:bCs/>
          <w:color w:val="000000"/>
          <w:sz w:val="22"/>
          <w:szCs w:val="22"/>
        </w:rPr>
        <w:t>适用场景：</w:t>
      </w:r>
      <w:r>
        <w:rPr>
          <w:rFonts w:ascii="宋体" w:hAnsi="宋体" w:eastAsia="宋体" w:cs="宋体"/>
          <w:b w:val="0"/>
          <w:bCs w:val="0"/>
          <w:color w:val="000000"/>
          <w:sz w:val="22"/>
          <w:szCs w:val="22"/>
        </w:rPr>
        <w:t xml:space="preserve">满足研发人员进行模型开发、调试和小规模训练的需求，如能本地部署并流 畅运行 </w:t>
      </w:r>
      <w:r>
        <w:rPr>
          <w:rFonts w:ascii="Calibri" w:hAnsi="Calibri" w:eastAsia="宋体" w:cs="Calibri"/>
          <w:b w:val="0"/>
          <w:bCs w:val="0"/>
          <w:color w:val="000000"/>
          <w:sz w:val="22"/>
          <w:szCs w:val="22"/>
        </w:rPr>
        <w:t>Deepseek R1 14b</w:t>
      </w:r>
      <w:r>
        <w:rPr>
          <w:rFonts w:ascii="宋体" w:hAnsi="宋体" w:eastAsia="宋体" w:cs="宋体"/>
          <w:b w:val="0"/>
          <w:bCs w:val="0"/>
          <w:color w:val="000000"/>
          <w:sz w:val="22"/>
          <w:szCs w:val="22"/>
        </w:rPr>
        <w:t>、后续微调、模型推理等。</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176"/>
        <w:gridCol w:w="4545"/>
        <w:gridCol w:w="2976"/>
      </w:tblGrid>
      <w:tr w14:paraId="4AD8B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71"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39B19C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513"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35002C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组件</w:t>
            </w:r>
          </w:p>
        </w:tc>
        <w:tc>
          <w:tcPr>
            <w:tcW w:w="2531"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2F4253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型  号</w:t>
            </w:r>
          </w:p>
        </w:tc>
        <w:tc>
          <w:tcPr>
            <w:tcW w:w="1482" w:type="pct"/>
            <w:tcBorders>
              <w:top w:val="single" w:color="000000" w:sz="8" w:space="0"/>
              <w:left w:val="single" w:color="000000" w:sz="4" w:space="0"/>
              <w:bottom w:val="single" w:color="000000" w:sz="4" w:space="0"/>
              <w:right w:val="single" w:color="000000" w:sz="8" w:space="0"/>
            </w:tcBorders>
            <w:shd w:val="clear" w:color="auto" w:fill="auto"/>
            <w:noWrap/>
            <w:vAlign w:val="center"/>
          </w:tcPr>
          <w:p w14:paraId="22FD96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品  牌</w:t>
            </w:r>
          </w:p>
        </w:tc>
      </w:tr>
      <w:tr w14:paraId="369F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7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207E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65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CPU</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EF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Intel i9-14900K（24 核）</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AMD Ryzen 9 7950X</w:t>
            </w:r>
          </w:p>
        </w:tc>
        <w:tc>
          <w:tcPr>
            <w:tcW w:w="148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5EF35D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英特尔/AMD 锐龙</w:t>
            </w:r>
          </w:p>
        </w:tc>
      </w:tr>
      <w:tr w14:paraId="2F9C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7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98F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13" w:type="pct"/>
            <w:tcBorders>
              <w:top w:val="nil"/>
              <w:left w:val="nil"/>
              <w:bottom w:val="nil"/>
              <w:right w:val="nil"/>
            </w:tcBorders>
            <w:shd w:val="clear" w:color="auto" w:fill="auto"/>
            <w:noWrap/>
            <w:vAlign w:val="center"/>
          </w:tcPr>
          <w:p w14:paraId="03246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主板</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CB3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支持 DDR5 的高端主板(z790 旗</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舰)</w:t>
            </w:r>
          </w:p>
        </w:tc>
        <w:tc>
          <w:tcPr>
            <w:tcW w:w="148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E710E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ROG STRIX Z790-A 吹雪主</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板</w:t>
            </w:r>
          </w:p>
        </w:tc>
      </w:tr>
      <w:tr w14:paraId="258C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7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233BD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85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内存</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48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64GB DDR5 6000MHz</w:t>
            </w:r>
          </w:p>
        </w:tc>
        <w:tc>
          <w:tcPr>
            <w:tcW w:w="148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10CA7A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金百达(32GBx2)</w:t>
            </w:r>
          </w:p>
        </w:tc>
      </w:tr>
      <w:tr w14:paraId="3DC7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7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1F67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8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显卡</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0C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NVIDIA RTX 4090d (24G) / 5080</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（16G）</w:t>
            </w:r>
          </w:p>
        </w:tc>
        <w:tc>
          <w:tcPr>
            <w:tcW w:w="148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2E8BB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英伟达公版/七彩虹/ROG</w:t>
            </w:r>
          </w:p>
        </w:tc>
      </w:tr>
      <w:tr w14:paraId="533E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7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66A2A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90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存储</w:t>
            </w:r>
          </w:p>
        </w:tc>
        <w:tc>
          <w:tcPr>
            <w:tcW w:w="2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DC0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4TB NVMe SSD </w:t>
            </w:r>
          </w:p>
        </w:tc>
        <w:tc>
          <w:tcPr>
            <w:tcW w:w="148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CC88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SAMSUNG/PREDATOR</w:t>
            </w:r>
          </w:p>
        </w:tc>
      </w:tr>
      <w:tr w14:paraId="18DA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7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76DA4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84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501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850W 及以上金牌认证电源</w:t>
            </w:r>
          </w:p>
        </w:tc>
        <w:tc>
          <w:tcPr>
            <w:tcW w:w="148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5A3564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金河田/爱国者</w:t>
            </w:r>
          </w:p>
        </w:tc>
      </w:tr>
      <w:tr w14:paraId="70968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47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32608F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7C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散热系统</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13C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高效风冷 / 水冷</w:t>
            </w:r>
          </w:p>
        </w:tc>
        <w:tc>
          <w:tcPr>
            <w:tcW w:w="148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48A66A4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七彩虹</w:t>
            </w:r>
          </w:p>
        </w:tc>
      </w:tr>
      <w:tr w14:paraId="30CB6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71" w:type="pct"/>
            <w:tcBorders>
              <w:top w:val="single" w:color="000000" w:sz="4" w:space="0"/>
              <w:left w:val="single" w:color="000000" w:sz="8" w:space="0"/>
              <w:bottom w:val="single" w:color="000000" w:sz="4" w:space="0"/>
              <w:right w:val="single" w:color="000000" w:sz="4" w:space="0"/>
            </w:tcBorders>
            <w:shd w:val="clear" w:color="auto" w:fill="auto"/>
            <w:noWrap/>
            <w:vAlign w:val="center"/>
          </w:tcPr>
          <w:p w14:paraId="5E3ED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4B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机箱</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C15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中塔 / 全塔机箱</w:t>
            </w:r>
          </w:p>
        </w:tc>
        <w:tc>
          <w:tcPr>
            <w:tcW w:w="1482" w:type="pct"/>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30EC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Aigo/Greatwall</w:t>
            </w:r>
          </w:p>
        </w:tc>
      </w:tr>
      <w:tr w14:paraId="439E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71" w:type="pct"/>
            <w:tcBorders>
              <w:top w:val="single" w:color="000000" w:sz="4" w:space="0"/>
              <w:left w:val="single" w:color="000000" w:sz="8" w:space="0"/>
              <w:bottom w:val="single" w:color="000000" w:sz="8" w:space="0"/>
              <w:right w:val="single" w:color="000000" w:sz="4" w:space="0"/>
            </w:tcBorders>
            <w:shd w:val="clear" w:color="auto" w:fill="auto"/>
            <w:noWrap/>
            <w:vAlign w:val="center"/>
          </w:tcPr>
          <w:p w14:paraId="7363C8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13" w:type="pct"/>
            <w:tcBorders>
              <w:top w:val="single" w:color="000000" w:sz="4" w:space="0"/>
              <w:left w:val="single" w:color="000000" w:sz="4" w:space="0"/>
              <w:bottom w:val="single" w:color="000000" w:sz="8" w:space="0"/>
              <w:right w:val="single" w:color="000000" w:sz="4" w:space="0"/>
            </w:tcBorders>
            <w:shd w:val="clear" w:color="auto" w:fill="auto"/>
            <w:noWrap/>
            <w:vAlign w:val="center"/>
          </w:tcPr>
          <w:p w14:paraId="7324F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整机</w:t>
            </w:r>
          </w:p>
        </w:tc>
        <w:tc>
          <w:tcPr>
            <w:tcW w:w="4014" w:type="pct"/>
            <w:gridSpan w:val="2"/>
            <w:tcBorders>
              <w:top w:val="single" w:color="000000" w:sz="4" w:space="0"/>
              <w:left w:val="single" w:color="000000" w:sz="4" w:space="0"/>
              <w:bottom w:val="single" w:color="000000" w:sz="8" w:space="0"/>
              <w:right w:val="single" w:color="000000" w:sz="4" w:space="0"/>
            </w:tcBorders>
            <w:shd w:val="clear" w:color="auto" w:fill="auto"/>
            <w:noWrap/>
            <w:vAlign w:val="center"/>
          </w:tcPr>
          <w:p w14:paraId="5B8767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华硕/酷睿 Ultra 一体机服务器塔式工作站</w:t>
            </w:r>
          </w:p>
        </w:tc>
      </w:tr>
    </w:tbl>
    <w:p w14:paraId="155E0D21">
      <w:pPr>
        <w:pStyle w:val="2"/>
        <w:numPr>
          <w:ilvl w:val="0"/>
          <w:numId w:val="0"/>
        </w:numPr>
        <w:rPr>
          <w:rFonts w:ascii="宋体" w:hAnsi="宋体" w:eastAsia="宋体" w:cs="宋体"/>
          <w:b w:val="0"/>
          <w:bCs w:val="0"/>
          <w:color w:val="000000"/>
          <w:sz w:val="22"/>
          <w:szCs w:val="22"/>
        </w:rPr>
      </w:pPr>
    </w:p>
    <w:p w14:paraId="635C0641">
      <w:pPr>
        <w:pStyle w:val="2"/>
        <w:numPr>
          <w:ilvl w:val="0"/>
          <w:numId w:val="0"/>
        </w:numPr>
        <w:rPr>
          <w:rFonts w:ascii="宋体" w:hAnsi="宋体" w:eastAsia="宋体" w:cs="宋体"/>
          <w:b w:val="0"/>
          <w:bCs w:val="0"/>
          <w:color w:val="000000"/>
          <w:sz w:val="22"/>
          <w:szCs w:val="22"/>
        </w:rPr>
      </w:pPr>
      <w:r>
        <w:rPr>
          <w:rFonts w:hint="eastAsia" w:ascii="宋体" w:hAnsi="宋体" w:eastAsia="宋体" w:cs="宋体"/>
          <w:b w:val="0"/>
          <w:bCs w:val="0"/>
          <w:snapToGrid w:val="0"/>
          <w:color w:val="000000"/>
          <w:sz w:val="22"/>
          <w:szCs w:val="22"/>
          <w:lang w:val="en-US" w:eastAsia="zh-CN" w:bidi="ar-SA"/>
        </w:rPr>
        <w:t>（二）</w:t>
      </w:r>
      <w:r>
        <w:rPr>
          <w:rFonts w:ascii="宋体" w:hAnsi="宋体" w:eastAsia="宋体" w:cs="宋体"/>
          <w:b/>
          <w:bCs/>
          <w:color w:val="000000"/>
          <w:sz w:val="24"/>
          <w:szCs w:val="24"/>
        </w:rPr>
        <w:t xml:space="preserve">配置 </w:t>
      </w:r>
      <w:r>
        <w:rPr>
          <w:rFonts w:hint="eastAsia" w:ascii="宋体" w:hAnsi="宋体" w:eastAsia="宋体" w:cs="宋体"/>
          <w:b/>
          <w:bCs/>
          <w:color w:val="000000"/>
          <w:sz w:val="24"/>
          <w:szCs w:val="24"/>
          <w:lang w:val="en-US" w:eastAsia="zh-CN"/>
        </w:rPr>
        <w:t>2</w:t>
      </w:r>
      <w:r>
        <w:rPr>
          <w:rFonts w:ascii="Calibri-Bold" w:hAnsi="Calibri-Bold" w:eastAsia="Calibri-Bold" w:cs="Calibri-Bold"/>
          <w:b w:val="0"/>
          <w:bCs w:val="0"/>
          <w:color w:val="000000"/>
          <w:sz w:val="24"/>
          <w:szCs w:val="24"/>
        </w:rPr>
        <w:t xml:space="preserve">: </w:t>
      </w:r>
      <w:r>
        <w:rPr>
          <w:rFonts w:ascii="宋体" w:hAnsi="宋体" w:eastAsia="宋体" w:cs="宋体"/>
          <w:b/>
          <w:bCs/>
          <w:color w:val="000000"/>
          <w:sz w:val="24"/>
          <w:szCs w:val="24"/>
        </w:rPr>
        <w:t xml:space="preserve">（普配）性价比个人工作站（适用于个人小模型开发调试训练） </w:t>
      </w:r>
      <w:r>
        <w:rPr>
          <w:rFonts w:ascii="宋体" w:hAnsi="宋体" w:eastAsia="宋体" w:cs="宋体"/>
          <w:b/>
          <w:bCs/>
          <w:color w:val="000000"/>
          <w:sz w:val="22"/>
          <w:szCs w:val="22"/>
        </w:rPr>
        <w:t>适用场景：</w:t>
      </w:r>
      <w:r>
        <w:rPr>
          <w:rFonts w:ascii="宋体" w:hAnsi="宋体" w:eastAsia="宋体" w:cs="宋体"/>
          <w:b w:val="0"/>
          <w:bCs w:val="0"/>
          <w:color w:val="000000"/>
          <w:sz w:val="22"/>
          <w:szCs w:val="22"/>
        </w:rPr>
        <w:t xml:space="preserve">本地运行 </w:t>
      </w:r>
      <w:r>
        <w:rPr>
          <w:rFonts w:ascii="Calibri" w:hAnsi="Calibri" w:eastAsia="宋体" w:cs="Calibri"/>
          <w:b w:val="0"/>
          <w:bCs w:val="0"/>
          <w:color w:val="000000"/>
          <w:sz w:val="22"/>
          <w:szCs w:val="22"/>
        </w:rPr>
        <w:t xml:space="preserve">/ </w:t>
      </w:r>
      <w:r>
        <w:rPr>
          <w:rFonts w:ascii="宋体" w:hAnsi="宋体" w:eastAsia="宋体" w:cs="宋体"/>
          <w:b w:val="0"/>
          <w:bCs w:val="0"/>
          <w:color w:val="000000"/>
          <w:sz w:val="22"/>
          <w:szCs w:val="22"/>
        </w:rPr>
        <w:t xml:space="preserve">微调主流 </w:t>
      </w:r>
      <w:r>
        <w:rPr>
          <w:rFonts w:hint="default" w:ascii="Calibri" w:hAnsi="Calibri" w:eastAsia="宋体" w:cs="Calibri"/>
          <w:b w:val="0"/>
          <w:bCs w:val="0"/>
          <w:color w:val="000000"/>
          <w:sz w:val="22"/>
          <w:szCs w:val="22"/>
        </w:rPr>
        <w:t xml:space="preserve">7 B-13 B </w:t>
      </w:r>
      <w:r>
        <w:rPr>
          <w:rFonts w:ascii="宋体" w:hAnsi="宋体" w:eastAsia="宋体" w:cs="宋体"/>
          <w:b w:val="0"/>
          <w:bCs w:val="0"/>
          <w:color w:val="000000"/>
          <w:sz w:val="22"/>
          <w:szCs w:val="22"/>
        </w:rPr>
        <w:t>模型（</w:t>
      </w:r>
      <w:r>
        <w:rPr>
          <w:rFonts w:hint="default" w:ascii="Calibri" w:hAnsi="Calibri" w:eastAsia="宋体" w:cs="Calibri"/>
          <w:b w:val="0"/>
          <w:bCs w:val="0"/>
          <w:color w:val="000000"/>
          <w:sz w:val="22"/>
          <w:szCs w:val="22"/>
        </w:rPr>
        <w:t>Qwen-7B</w:t>
      </w:r>
      <w:r>
        <w:rPr>
          <w:rFonts w:ascii="宋体" w:hAnsi="宋体" w:eastAsia="宋体" w:cs="宋体"/>
          <w:b w:val="0"/>
          <w:bCs w:val="0"/>
          <w:color w:val="000000"/>
          <w:sz w:val="22"/>
          <w:szCs w:val="22"/>
        </w:rPr>
        <w:t>、</w:t>
      </w:r>
      <w:r>
        <w:rPr>
          <w:rFonts w:hint="default" w:ascii="Calibri" w:hAnsi="Calibri" w:eastAsia="宋体" w:cs="Calibri"/>
          <w:b w:val="0"/>
          <w:bCs w:val="0"/>
          <w:color w:val="000000"/>
          <w:sz w:val="22"/>
          <w:szCs w:val="22"/>
        </w:rPr>
        <w:t>Phi-3-14B-mini</w:t>
      </w:r>
      <w:r>
        <w:rPr>
          <w:rFonts w:ascii="宋体" w:hAnsi="宋体" w:eastAsia="宋体" w:cs="宋体"/>
          <w:b w:val="0"/>
          <w:bCs w:val="0"/>
          <w:color w:val="000000"/>
          <w:sz w:val="22"/>
          <w:szCs w:val="22"/>
        </w:rPr>
        <w:t xml:space="preserve">），兼顾 </w:t>
      </w:r>
      <w:r>
        <w:rPr>
          <w:rFonts w:hint="default" w:ascii="Calibri" w:hAnsi="Calibri" w:eastAsia="宋体" w:cs="Calibri"/>
          <w:b w:val="0"/>
          <w:bCs w:val="0"/>
          <w:color w:val="000000"/>
          <w:sz w:val="22"/>
          <w:szCs w:val="22"/>
        </w:rPr>
        <w:t xml:space="preserve">CFD/ </w:t>
      </w:r>
      <w:r>
        <w:rPr>
          <w:rFonts w:ascii="宋体" w:hAnsi="宋体" w:eastAsia="宋体" w:cs="宋体"/>
          <w:b w:val="0"/>
          <w:bCs w:val="0"/>
          <w:color w:val="000000"/>
          <w:sz w:val="22"/>
          <w:szCs w:val="22"/>
        </w:rPr>
        <w:t>有限元前后处理。</w:t>
      </w:r>
    </w:p>
    <w:tbl>
      <w:tblPr>
        <w:tblStyle w:val="14"/>
        <w:tblW w:w="93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1177"/>
        <w:gridCol w:w="3651"/>
        <w:gridCol w:w="3651"/>
      </w:tblGrid>
      <w:tr w14:paraId="18C08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4" w:type="dxa"/>
            <w:tcBorders>
              <w:top w:val="single" w:color="000000" w:sz="8" w:space="0"/>
              <w:left w:val="single" w:color="000000" w:sz="8" w:space="0"/>
              <w:bottom w:val="single" w:color="000000" w:sz="4" w:space="0"/>
              <w:right w:val="single" w:color="000000" w:sz="4" w:space="0"/>
            </w:tcBorders>
            <w:shd w:val="clear" w:color="auto" w:fill="auto"/>
            <w:noWrap/>
            <w:vAlign w:val="center"/>
          </w:tcPr>
          <w:p w14:paraId="47F57F6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117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4A666A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组件</w:t>
            </w:r>
          </w:p>
        </w:tc>
        <w:tc>
          <w:tcPr>
            <w:tcW w:w="365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4652DD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型  号</w:t>
            </w:r>
          </w:p>
        </w:tc>
        <w:tc>
          <w:tcPr>
            <w:tcW w:w="3651"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327C1CD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品  牌</w:t>
            </w:r>
          </w:p>
        </w:tc>
      </w:tr>
      <w:tr w14:paraId="23516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2048E5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5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CPU</w:t>
            </w:r>
          </w:p>
        </w:tc>
        <w:tc>
          <w:tcPr>
            <w:tcW w:w="36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1DFFC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Intel i9-13900K（16 核）</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AMD Ryzen 9 7900X(12 核)</w:t>
            </w:r>
          </w:p>
        </w:tc>
        <w:tc>
          <w:tcPr>
            <w:tcW w:w="36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E9F2FC9">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英特尔/AMD 锐龙</w:t>
            </w:r>
          </w:p>
        </w:tc>
      </w:tr>
      <w:tr w14:paraId="41937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75C4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177" w:type="dxa"/>
            <w:tcBorders>
              <w:top w:val="nil"/>
              <w:left w:val="nil"/>
              <w:bottom w:val="nil"/>
              <w:right w:val="nil"/>
            </w:tcBorders>
            <w:shd w:val="clear" w:color="auto" w:fill="auto"/>
            <w:noWrap/>
            <w:vAlign w:val="center"/>
          </w:tcPr>
          <w:p w14:paraId="4F5AB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主板</w:t>
            </w:r>
          </w:p>
        </w:tc>
        <w:tc>
          <w:tcPr>
            <w:tcW w:w="36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08318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支持 DDR5 的高端主板（X670E-E）</w:t>
            </w:r>
          </w:p>
        </w:tc>
        <w:tc>
          <w:tcPr>
            <w:tcW w:w="3651"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7E21452">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ROG STRIX Z790-A 吹雪主</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板</w:t>
            </w:r>
          </w:p>
        </w:tc>
      </w:tr>
      <w:tr w14:paraId="6E16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499A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3A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内存</w:t>
            </w:r>
          </w:p>
        </w:tc>
        <w:tc>
          <w:tcPr>
            <w:tcW w:w="365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BC7CF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32GB DDR5 6000MHz</w:t>
            </w:r>
          </w:p>
        </w:tc>
        <w:tc>
          <w:tcPr>
            <w:tcW w:w="365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C67749C">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金百达(32GBx2)</w:t>
            </w:r>
          </w:p>
        </w:tc>
      </w:tr>
      <w:tr w14:paraId="5E7EA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059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3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显卡</w:t>
            </w:r>
          </w:p>
        </w:tc>
        <w:tc>
          <w:tcPr>
            <w:tcW w:w="365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AF8D8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NVIDIA RTX 4080 (16G) / 3090 Ti（24G）</w:t>
            </w:r>
          </w:p>
        </w:tc>
        <w:tc>
          <w:tcPr>
            <w:tcW w:w="365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879DE8A">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英伟达公版/七彩虹/ROG</w:t>
            </w:r>
          </w:p>
        </w:tc>
      </w:tr>
      <w:tr w14:paraId="213E6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3E8E0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25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存储</w:t>
            </w:r>
          </w:p>
        </w:tc>
        <w:tc>
          <w:tcPr>
            <w:tcW w:w="3651" w:type="dxa"/>
            <w:tcBorders>
              <w:top w:val="nil"/>
              <w:left w:val="nil"/>
              <w:bottom w:val="nil"/>
              <w:right w:val="single" w:color="000000" w:sz="8" w:space="0"/>
            </w:tcBorders>
            <w:shd w:val="clear" w:color="auto" w:fill="auto"/>
            <w:noWrap/>
            <w:vAlign w:val="center"/>
          </w:tcPr>
          <w:p w14:paraId="41FF66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2TB NVMe SSD</w:t>
            </w:r>
          </w:p>
        </w:tc>
        <w:tc>
          <w:tcPr>
            <w:tcW w:w="3651" w:type="dxa"/>
            <w:tcBorders>
              <w:top w:val="nil"/>
              <w:left w:val="nil"/>
              <w:bottom w:val="nil"/>
              <w:right w:val="single" w:color="000000" w:sz="8" w:space="0"/>
            </w:tcBorders>
            <w:shd w:val="clear" w:color="auto" w:fill="auto"/>
            <w:noWrap/>
            <w:vAlign w:val="center"/>
          </w:tcPr>
          <w:p w14:paraId="0913B8C7">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SAMSUNG/PREDATOR</w:t>
            </w:r>
          </w:p>
        </w:tc>
      </w:tr>
      <w:tr w14:paraId="12C6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7E17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73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电源</w:t>
            </w:r>
          </w:p>
        </w:tc>
        <w:tc>
          <w:tcPr>
            <w:tcW w:w="365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15502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850W 及以上金牌认证电源</w:t>
            </w:r>
          </w:p>
        </w:tc>
        <w:tc>
          <w:tcPr>
            <w:tcW w:w="365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2401A8B">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金河田/爱国者</w:t>
            </w:r>
            <w:bookmarkStart w:id="7" w:name="_GoBack"/>
            <w:bookmarkEnd w:id="7"/>
          </w:p>
        </w:tc>
      </w:tr>
      <w:tr w14:paraId="44A7C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13987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1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3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散热系统</w:t>
            </w:r>
          </w:p>
        </w:tc>
        <w:tc>
          <w:tcPr>
            <w:tcW w:w="365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4F18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中塔 / 全塔机箱</w:t>
            </w:r>
          </w:p>
        </w:tc>
        <w:tc>
          <w:tcPr>
            <w:tcW w:w="365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36C4CE3">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七彩虹</w:t>
            </w:r>
          </w:p>
        </w:tc>
      </w:tr>
      <w:tr w14:paraId="5FF27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4" w:type="dxa"/>
            <w:tcBorders>
              <w:top w:val="single" w:color="000000" w:sz="4" w:space="0"/>
              <w:left w:val="single" w:color="000000" w:sz="8" w:space="0"/>
              <w:bottom w:val="single" w:color="000000" w:sz="8" w:space="0"/>
              <w:right w:val="single" w:color="000000" w:sz="4" w:space="0"/>
            </w:tcBorders>
            <w:shd w:val="clear" w:color="auto" w:fill="auto"/>
            <w:noWrap/>
            <w:vAlign w:val="center"/>
          </w:tcPr>
          <w:p w14:paraId="624C21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177" w:type="dxa"/>
            <w:tcBorders>
              <w:top w:val="single" w:color="000000" w:sz="4" w:space="0"/>
              <w:left w:val="single" w:color="000000" w:sz="4" w:space="0"/>
              <w:bottom w:val="single" w:color="000000" w:sz="8" w:space="0"/>
              <w:right w:val="single" w:color="000000" w:sz="4" w:space="0"/>
            </w:tcBorders>
            <w:shd w:val="clear" w:color="auto" w:fill="auto"/>
            <w:noWrap/>
            <w:vAlign w:val="center"/>
          </w:tcPr>
          <w:p w14:paraId="3CF489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机箱</w:t>
            </w:r>
          </w:p>
        </w:tc>
        <w:tc>
          <w:tcPr>
            <w:tcW w:w="3651"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706B5C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中塔 / 全塔机箱</w:t>
            </w:r>
          </w:p>
        </w:tc>
        <w:tc>
          <w:tcPr>
            <w:tcW w:w="3651" w:type="dxa"/>
            <w:tcBorders>
              <w:top w:val="single" w:color="000000" w:sz="4" w:space="0"/>
              <w:left w:val="single" w:color="000000" w:sz="4" w:space="0"/>
              <w:bottom w:val="single" w:color="000000" w:sz="8" w:space="0"/>
              <w:right w:val="single" w:color="000000" w:sz="8" w:space="0"/>
            </w:tcBorders>
            <w:shd w:val="clear" w:color="auto" w:fill="auto"/>
            <w:noWrap/>
            <w:vAlign w:val="center"/>
          </w:tcPr>
          <w:p w14:paraId="544688B1">
            <w:pPr>
              <w:keepNext w:val="0"/>
              <w:keepLines w:val="0"/>
              <w:widowControl/>
              <w:suppressLineNumbers w:val="0"/>
              <w:jc w:val="left"/>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Aigo/Greatwall</w:t>
            </w:r>
          </w:p>
        </w:tc>
      </w:tr>
    </w:tbl>
    <w:p w14:paraId="1992B12B">
      <w:pPr>
        <w:pStyle w:val="2"/>
        <w:numPr>
          <w:ilvl w:val="0"/>
          <w:numId w:val="0"/>
        </w:numPr>
        <w:rPr>
          <w:rFonts w:ascii="宋体" w:hAnsi="宋体" w:eastAsia="宋体" w:cs="宋体"/>
          <w:b w:val="0"/>
          <w:bCs w:val="0"/>
          <w:color w:val="000000"/>
          <w:sz w:val="22"/>
          <w:szCs w:val="22"/>
        </w:rPr>
      </w:pPr>
    </w:p>
    <w:p w14:paraId="6AE71B97">
      <w:pPr>
        <w:pStyle w:val="2"/>
        <w:numPr>
          <w:ilvl w:val="0"/>
          <w:numId w:val="0"/>
        </w:numPr>
        <w:kinsoku w:val="0"/>
        <w:autoSpaceDE w:val="0"/>
        <w:autoSpaceDN w:val="0"/>
        <w:adjustRightInd w:val="0"/>
        <w:snapToGrid w:val="0"/>
        <w:spacing w:line="360" w:lineRule="auto"/>
        <w:textAlignment w:val="baseline"/>
        <w:rPr>
          <w:rFonts w:hint="default" w:ascii="宋体" w:hAnsi="宋体" w:eastAsia="宋体" w:cs="宋体"/>
          <w:b w:val="0"/>
          <w:bCs w:val="0"/>
          <w:color w:val="000000"/>
          <w:sz w:val="22"/>
          <w:szCs w:val="22"/>
          <w:lang w:val="en-US" w:eastAsia="zh-CN"/>
        </w:rPr>
      </w:pPr>
    </w:p>
    <w:p w14:paraId="24784015">
      <w:pPr>
        <w:pStyle w:val="2"/>
        <w:numPr>
          <w:ilvl w:val="0"/>
          <w:numId w:val="0"/>
        </w:numPr>
        <w:kinsoku w:val="0"/>
        <w:autoSpaceDE w:val="0"/>
        <w:autoSpaceDN w:val="0"/>
        <w:adjustRightInd w:val="0"/>
        <w:snapToGrid w:val="0"/>
        <w:spacing w:line="360" w:lineRule="auto"/>
        <w:textAlignment w:val="baseline"/>
        <w:rPr>
          <w:rFonts w:hint="default" w:ascii="宋体" w:hAnsi="宋体" w:eastAsia="宋体" w:cs="宋体"/>
          <w:b w:val="0"/>
          <w:bCs w:val="0"/>
          <w:color w:val="000000"/>
          <w:sz w:val="24"/>
          <w:szCs w:val="24"/>
          <w:lang w:val="en-US" w:eastAsia="zh-CN"/>
        </w:rPr>
      </w:pPr>
      <w:r>
        <w:rPr>
          <w:rFonts w:ascii="宋体" w:hAnsi="宋体" w:eastAsia="宋体" w:cs="宋体"/>
          <w:b/>
          <w:bCs/>
          <w:color w:val="000000"/>
          <w:sz w:val="24"/>
          <w:szCs w:val="24"/>
        </w:rPr>
        <w:t>备注：</w:t>
      </w:r>
      <w:r>
        <w:rPr>
          <w:rFonts w:ascii="宋体" w:hAnsi="宋体" w:eastAsia="宋体" w:cs="宋体"/>
          <w:b w:val="0"/>
          <w:bCs w:val="0"/>
          <w:color w:val="000000"/>
          <w:sz w:val="24"/>
          <w:szCs w:val="24"/>
        </w:rPr>
        <w:t>若自行组装需考虑各组件间各品牌的兼容性，</w:t>
      </w:r>
      <w:r>
        <w:rPr>
          <w:rFonts w:ascii="Calibri" w:hAnsi="Calibri" w:eastAsia="宋体" w:cs="Calibri"/>
          <w:b w:val="0"/>
          <w:bCs w:val="0"/>
          <w:color w:val="000000"/>
          <w:sz w:val="24"/>
          <w:szCs w:val="24"/>
        </w:rPr>
        <w:t>CPU</w:t>
      </w:r>
      <w:r>
        <w:rPr>
          <w:rFonts w:ascii="宋体" w:hAnsi="宋体" w:eastAsia="宋体" w:cs="宋体"/>
          <w:b w:val="0"/>
          <w:bCs w:val="0"/>
          <w:color w:val="000000"/>
          <w:sz w:val="24"/>
          <w:szCs w:val="24"/>
        </w:rPr>
        <w:t>、</w:t>
      </w:r>
      <w:r>
        <w:rPr>
          <w:rFonts w:hint="default" w:ascii="Calibri" w:hAnsi="Calibri" w:eastAsia="宋体" w:cs="Calibri"/>
          <w:b w:val="0"/>
          <w:bCs w:val="0"/>
          <w:color w:val="000000"/>
          <w:sz w:val="24"/>
          <w:szCs w:val="24"/>
        </w:rPr>
        <w:t>GPU</w:t>
      </w:r>
      <w:r>
        <w:rPr>
          <w:rFonts w:ascii="宋体" w:hAnsi="宋体" w:eastAsia="宋体" w:cs="宋体"/>
          <w:b w:val="0"/>
          <w:bCs w:val="0"/>
          <w:color w:val="000000"/>
          <w:sz w:val="24"/>
          <w:szCs w:val="24"/>
        </w:rPr>
        <w:t xml:space="preserve">、内存是核心，也是后续工作的重要保障。 </w:t>
      </w:r>
      <w:r>
        <w:rPr>
          <w:rFonts w:ascii="宋体" w:hAnsi="宋体" w:eastAsia="宋体" w:cs="宋体"/>
          <w:b w:val="0"/>
          <w:bCs w:val="0"/>
          <w:color w:val="FF0000"/>
          <w:sz w:val="24"/>
          <w:szCs w:val="24"/>
        </w:rPr>
        <w:t xml:space="preserve">以上两种配置，可以考虑 </w:t>
      </w:r>
      <w:r>
        <w:rPr>
          <w:rFonts w:hint="default" w:ascii="Calibri" w:hAnsi="Calibri" w:eastAsia="宋体" w:cs="Calibri"/>
          <w:b w:val="0"/>
          <w:bCs w:val="0"/>
          <w:color w:val="FF0000"/>
          <w:sz w:val="24"/>
          <w:szCs w:val="24"/>
        </w:rPr>
        <w:t xml:space="preserve">1:1 </w:t>
      </w:r>
      <w:r>
        <w:rPr>
          <w:rFonts w:ascii="宋体" w:hAnsi="宋体" w:eastAsia="宋体" w:cs="宋体"/>
          <w:b w:val="0"/>
          <w:bCs w:val="0"/>
          <w:color w:val="FF0000"/>
          <w:sz w:val="24"/>
          <w:szCs w:val="24"/>
        </w:rPr>
        <w:t>（组装机和品牌机</w:t>
      </w:r>
      <w:r>
        <w:rPr>
          <w:rFonts w:hint="eastAsia" w:ascii="宋体" w:hAnsi="宋体" w:eastAsia="宋体" w:cs="宋体"/>
          <w:b w:val="0"/>
          <w:bCs w:val="0"/>
          <w:color w:val="FF0000"/>
          <w:sz w:val="24"/>
          <w:szCs w:val="24"/>
          <w:lang w:val="en-US" w:eastAsia="zh-CN"/>
        </w:rPr>
        <w:t>均</w:t>
      </w:r>
      <w:r>
        <w:rPr>
          <w:rFonts w:ascii="宋体" w:hAnsi="宋体" w:eastAsia="宋体" w:cs="宋体"/>
          <w:b w:val="0"/>
          <w:bCs w:val="0"/>
          <w:color w:val="FF0000"/>
          <w:sz w:val="24"/>
          <w:szCs w:val="24"/>
        </w:rPr>
        <w:t>可）。</w:t>
      </w:r>
    </w:p>
    <w:p w14:paraId="5C10381F">
      <w:pPr>
        <w:pStyle w:val="2"/>
        <w:numPr>
          <w:ilvl w:val="0"/>
          <w:numId w:val="0"/>
        </w:numPr>
        <w:rPr>
          <w:rFonts w:hint="default"/>
          <w:lang w:val="en-US" w:eastAsia="zh-CN"/>
        </w:rPr>
      </w:pPr>
    </w:p>
    <w:p w14:paraId="0242A0C6">
      <w:pPr>
        <w:pStyle w:val="2"/>
        <w:numPr>
          <w:ilvl w:val="0"/>
          <w:numId w:val="0"/>
        </w:numPr>
        <w:rPr>
          <w:rFonts w:hint="default"/>
          <w:lang w:val="en-US" w:eastAsia="zh-CN"/>
        </w:rPr>
      </w:pPr>
    </w:p>
    <w:p w14:paraId="61C7407D">
      <w:pPr>
        <w:pStyle w:val="2"/>
        <w:numPr>
          <w:ilvl w:val="0"/>
          <w:numId w:val="0"/>
        </w:numPr>
        <w:rPr>
          <w:rFonts w:hint="default"/>
          <w:lang w:val="en-US" w:eastAsia="zh-CN"/>
        </w:rPr>
      </w:pPr>
    </w:p>
    <w:p w14:paraId="328FF5D0">
      <w:pPr>
        <w:pStyle w:val="2"/>
        <w:numPr>
          <w:ilvl w:val="0"/>
          <w:numId w:val="0"/>
        </w:numPr>
        <w:rPr>
          <w:rFonts w:hint="default"/>
          <w:lang w:val="en-US" w:eastAsia="zh-CN"/>
        </w:rPr>
      </w:pPr>
    </w:p>
    <w:p w14:paraId="37D9493A">
      <w:pPr>
        <w:pStyle w:val="2"/>
        <w:numPr>
          <w:ilvl w:val="0"/>
          <w:numId w:val="0"/>
        </w:numPr>
        <w:rPr>
          <w:rFonts w:hint="default"/>
          <w:lang w:val="en-US" w:eastAsia="zh-CN"/>
        </w:rPr>
      </w:pPr>
    </w:p>
    <w:p w14:paraId="6847C1AC">
      <w:pPr>
        <w:pStyle w:val="2"/>
        <w:numPr>
          <w:ilvl w:val="0"/>
          <w:numId w:val="0"/>
        </w:numPr>
        <w:rPr>
          <w:rFonts w:hint="default"/>
          <w:lang w:val="en-US" w:eastAsia="zh-CN"/>
        </w:rPr>
      </w:pPr>
    </w:p>
    <w:p w14:paraId="676F4353">
      <w:pPr>
        <w:pStyle w:val="2"/>
        <w:numPr>
          <w:ilvl w:val="0"/>
          <w:numId w:val="0"/>
        </w:numPr>
        <w:rPr>
          <w:rFonts w:hint="default"/>
          <w:lang w:val="en-US" w:eastAsia="zh-CN"/>
        </w:rPr>
      </w:pPr>
    </w:p>
    <w:p w14:paraId="69618D96">
      <w:pPr>
        <w:pStyle w:val="2"/>
        <w:numPr>
          <w:ilvl w:val="0"/>
          <w:numId w:val="0"/>
        </w:numPr>
        <w:rPr>
          <w:rFonts w:hint="default"/>
          <w:lang w:val="en-US" w:eastAsia="zh-CN"/>
        </w:rPr>
      </w:pPr>
    </w:p>
    <w:p w14:paraId="2D5D6014">
      <w:pPr>
        <w:pStyle w:val="2"/>
        <w:numPr>
          <w:ilvl w:val="0"/>
          <w:numId w:val="0"/>
        </w:numPr>
        <w:rPr>
          <w:rFonts w:hint="default"/>
          <w:lang w:val="en-US" w:eastAsia="zh-CN"/>
        </w:rPr>
      </w:pPr>
    </w:p>
    <w:p w14:paraId="675A26FE">
      <w:pPr>
        <w:pStyle w:val="2"/>
        <w:numPr>
          <w:ilvl w:val="0"/>
          <w:numId w:val="0"/>
        </w:numPr>
        <w:rPr>
          <w:rFonts w:hint="default"/>
          <w:lang w:val="en-US" w:eastAsia="zh-CN"/>
        </w:rPr>
      </w:pPr>
    </w:p>
    <w:p w14:paraId="044B0935">
      <w:pPr>
        <w:pStyle w:val="2"/>
        <w:ind w:left="0" w:leftChars="0" w:firstLine="0" w:firstLineChars="0"/>
        <w:rPr>
          <w:rFonts w:hint="eastAsia"/>
        </w:rPr>
      </w:pPr>
    </w:p>
    <w:p w14:paraId="01B3A9E7">
      <w:pPr>
        <w:spacing w:before="240" w:beforeLines="100" w:line="360" w:lineRule="auto"/>
        <w:jc w:val="both"/>
        <w:outlineLvl w:val="0"/>
        <w:rPr>
          <w:rFonts w:ascii="宋体" w:hAnsi="宋体" w:eastAsia="宋体" w:cs="宋体"/>
          <w:b/>
          <w:sz w:val="36"/>
          <w:szCs w:val="36"/>
          <w:highlight w:val="none"/>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highlight w:val="none"/>
          <w14:textOutline w14:w="6527" w14:cap="flat" w14:cmpd="sng" w14:algn="ctr">
            <w14:solidFill>
              <w14:srgbClr w14:val="000000"/>
            </w14:solidFill>
            <w14:prstDash w14:val="solid"/>
            <w14:miter w14:val="0"/>
          </w14:textOutline>
        </w:rPr>
        <w:t>附件：商务要求</w:t>
      </w:r>
      <w:bookmarkEnd w:id="4"/>
    </w:p>
    <w:p w14:paraId="6B4E90F6">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1、设备交付、安装调试与验收</w:t>
      </w:r>
    </w:p>
    <w:p w14:paraId="016A413E">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交货时间为合同签订后内，交货地点为</w:t>
      </w:r>
      <w:r>
        <w:rPr>
          <w:rFonts w:hint="eastAsia" w:ascii="宋体" w:hAnsi="宋体" w:eastAsia="宋体" w:cs="宋体"/>
          <w:color w:val="auto"/>
          <w:sz w:val="24"/>
          <w:szCs w:val="24"/>
          <w:highlight w:val="none"/>
          <w:lang w:val="en-US" w:eastAsia="zh-CN"/>
        </w:rPr>
        <w:t>需方指定地点</w:t>
      </w:r>
      <w:r>
        <w:rPr>
          <w:rFonts w:hint="eastAsia" w:ascii="宋体" w:hAnsi="宋体" w:eastAsia="宋体" w:cs="宋体"/>
          <w:color w:val="auto"/>
          <w:sz w:val="24"/>
          <w:szCs w:val="24"/>
          <w:highlight w:val="none"/>
        </w:rPr>
        <w:t>。</w:t>
      </w:r>
    </w:p>
    <w:p w14:paraId="5B012D92">
      <w:pPr>
        <w:widowControl w:val="0"/>
        <w:kinsoku/>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卖方负责设备在买方工厂安装调试。到货后7天内完成安装调试，通知甲方终验收，验收收所用的专用工具、量具由卖方自备。</w:t>
      </w:r>
    </w:p>
    <w:p w14:paraId="759BD707">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投标文件中要写明供货期及安装、调试直至完成终验收所需用的时间。</w:t>
      </w:r>
    </w:p>
    <w:p w14:paraId="5DB18582">
      <w:pPr>
        <w:widowControl w:val="0"/>
        <w:kinsoku/>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.4</w:t>
      </w:r>
      <w:r>
        <w:rPr>
          <w:rFonts w:hint="eastAsia" w:ascii="宋体" w:hAnsi="宋体" w:eastAsia="宋体" w:cs="宋体"/>
          <w:color w:val="auto"/>
          <w:sz w:val="24"/>
          <w:szCs w:val="24"/>
          <w:highlight w:val="none"/>
        </w:rPr>
        <w:t>使用现场安装后进行验收，由买方组织进行，卖方代表参加。设备验收时按合同设备技术文件涉及的所有内容逐一检验。重点做好以下检验：</w:t>
      </w:r>
    </w:p>
    <w:p w14:paraId="1FAB02B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.4.1</w:t>
      </w:r>
      <w:r>
        <w:rPr>
          <w:rFonts w:hint="eastAsia" w:ascii="宋体" w:hAnsi="宋体" w:eastAsia="宋体" w:cs="宋体"/>
          <w:sz w:val="24"/>
          <w:szCs w:val="24"/>
        </w:rPr>
        <w:t>外观质量、规格型号、附件和工具。</w:t>
      </w:r>
    </w:p>
    <w:p w14:paraId="57E8660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.4.2</w:t>
      </w:r>
      <w:r>
        <w:rPr>
          <w:rFonts w:hint="eastAsia" w:ascii="宋体" w:hAnsi="宋体" w:eastAsia="宋体" w:cs="宋体"/>
          <w:sz w:val="24"/>
          <w:szCs w:val="24"/>
          <w:highlight w:val="none"/>
        </w:rPr>
        <w:t>关键零部件的检验。</w:t>
      </w:r>
    </w:p>
    <w:p w14:paraId="09F60F44">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.4.3</w:t>
      </w:r>
      <w:r>
        <w:rPr>
          <w:rFonts w:hint="eastAsia" w:ascii="宋体" w:hAnsi="宋体" w:eastAsia="宋体" w:cs="宋体"/>
          <w:sz w:val="24"/>
          <w:szCs w:val="24"/>
          <w:highlight w:val="none"/>
        </w:rPr>
        <w:t>参数检验：对合同设备主要技术参数进行检验。</w:t>
      </w:r>
    </w:p>
    <w:p w14:paraId="6E7291E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.4.</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技术资料清点。</w:t>
      </w:r>
    </w:p>
    <w:p w14:paraId="1AD7237D">
      <w:pPr>
        <w:widowControl w:val="0"/>
        <w:kinsoku/>
        <w:spacing w:line="36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.4.</w:t>
      </w:r>
      <w:r>
        <w:rPr>
          <w:rFonts w:hint="eastAsia" w:ascii="宋体" w:hAnsi="宋体" w:eastAsia="宋体" w:cs="宋体"/>
          <w:sz w:val="24"/>
          <w:szCs w:val="24"/>
          <w:highlight w:val="none"/>
          <w:lang w:val="en-US" w:eastAsia="zh-CN"/>
        </w:rPr>
        <w:t>5设备预验收，终验收，相关验收条款，后期双方协商确认。</w:t>
      </w:r>
      <w:r>
        <w:rPr>
          <w:rFonts w:hint="eastAsia" w:ascii="宋体" w:hAnsi="宋体" w:eastAsia="宋体" w:cs="宋体"/>
          <w:sz w:val="24"/>
          <w:szCs w:val="24"/>
          <w:highlight w:val="none"/>
        </w:rPr>
        <w:t>验收时若有不满足要求的情况，卖方需负全部责任。</w:t>
      </w:r>
    </w:p>
    <w:p w14:paraId="6CA44D5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ascii="宋体" w:hAnsi="宋体" w:eastAsia="宋体" w:cs="宋体"/>
          <w:sz w:val="24"/>
          <w:szCs w:val="24"/>
          <w:highlight w:val="none"/>
        </w:rPr>
        <w:t>.5</w:t>
      </w:r>
      <w:r>
        <w:rPr>
          <w:rFonts w:hint="eastAsia" w:ascii="宋体" w:hAnsi="宋体" w:eastAsia="宋体" w:cs="宋体"/>
          <w:sz w:val="24"/>
          <w:szCs w:val="24"/>
          <w:highlight w:val="none"/>
        </w:rPr>
        <w:t>卖方负责买方相关人员的培训，包括并不限于操作、编程、安全、保养、维护等内容。</w:t>
      </w:r>
    </w:p>
    <w:p w14:paraId="795A1249">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1.6付款方式：</w:t>
      </w:r>
    </w:p>
    <w:p w14:paraId="5BF1D1C6">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银行转账或者银承电子承兑</w:t>
      </w:r>
      <w:r>
        <w:rPr>
          <w:rFonts w:hint="eastAsia" w:ascii="宋体" w:hAnsi="宋体" w:eastAsia="宋体" w:cs="宋体"/>
          <w:sz w:val="24"/>
          <w:szCs w:val="24"/>
          <w:highlight w:val="none"/>
        </w:rPr>
        <w:t>汇票；</w:t>
      </w:r>
    </w:p>
    <w:p w14:paraId="33FD2F43">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（2）合同签订后付第一笔款30%；</w:t>
      </w:r>
    </w:p>
    <w:p w14:paraId="6B06244E">
      <w:pPr>
        <w:widowControl w:val="0"/>
        <w:kinsoku/>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）产品按照甲方要求</w:t>
      </w:r>
      <w:r>
        <w:rPr>
          <w:rFonts w:hint="eastAsia" w:ascii="宋体" w:hAnsi="宋体" w:eastAsia="宋体" w:cs="宋体"/>
          <w:sz w:val="24"/>
          <w:szCs w:val="24"/>
          <w:highlight w:val="none"/>
          <w:lang w:val="en-US" w:eastAsia="zh-CN"/>
        </w:rPr>
        <w:t>生产</w:t>
      </w:r>
      <w:r>
        <w:rPr>
          <w:rFonts w:hint="eastAsia" w:ascii="宋体" w:hAnsi="宋体" w:eastAsia="宋体" w:cs="宋体"/>
          <w:sz w:val="24"/>
          <w:szCs w:val="24"/>
          <w:highlight w:val="none"/>
        </w:rPr>
        <w:t>完毕</w:t>
      </w:r>
      <w:r>
        <w:rPr>
          <w:rFonts w:hint="eastAsia" w:ascii="宋体" w:hAnsi="宋体" w:eastAsia="宋体" w:cs="宋体"/>
          <w:sz w:val="24"/>
          <w:szCs w:val="24"/>
          <w:highlight w:val="none"/>
          <w:lang w:val="en-US" w:eastAsia="zh-CN"/>
        </w:rPr>
        <w:t>具备发货条件</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通知</w:t>
      </w:r>
      <w:r>
        <w:rPr>
          <w:rFonts w:hint="eastAsia" w:ascii="宋体" w:hAnsi="宋体" w:eastAsia="宋体" w:cs="宋体"/>
          <w:sz w:val="24"/>
          <w:szCs w:val="24"/>
          <w:highlight w:val="none"/>
        </w:rPr>
        <w:t>甲方支付第</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笔款</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w:t>
      </w:r>
    </w:p>
    <w:p w14:paraId="2F000B00">
      <w:pPr>
        <w:pStyle w:val="2"/>
        <w:ind w:left="0" w:leftChars="0" w:firstLine="0" w:firstLineChars="0"/>
        <w:rPr>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产品交付使用，甲</w:t>
      </w:r>
      <w:r>
        <w:rPr>
          <w:rFonts w:hint="eastAsia" w:ascii="宋体" w:hAnsi="宋体" w:eastAsia="宋体" w:cs="宋体"/>
          <w:sz w:val="24"/>
          <w:szCs w:val="24"/>
          <w:highlight w:val="none"/>
        </w:rPr>
        <w:t>方组织</w:t>
      </w:r>
      <w:r>
        <w:rPr>
          <w:rFonts w:hint="eastAsia" w:ascii="宋体" w:hAnsi="宋体" w:eastAsia="宋体" w:cs="宋体"/>
          <w:sz w:val="24"/>
          <w:szCs w:val="24"/>
          <w:highlight w:val="none"/>
          <w:lang w:val="en-US" w:eastAsia="zh-CN"/>
        </w:rPr>
        <w:t>终验收</w:t>
      </w:r>
      <w:r>
        <w:rPr>
          <w:rFonts w:hint="eastAsia" w:ascii="宋体" w:hAnsi="宋体" w:eastAsia="宋体" w:cs="宋体"/>
          <w:sz w:val="24"/>
          <w:szCs w:val="24"/>
          <w:highlight w:val="none"/>
        </w:rPr>
        <w:t>，技术指标达到合同规定要求，且经甲方确认后，甲方付第</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笔款</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w:t>
      </w:r>
    </w:p>
    <w:p w14:paraId="0B36DC02">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（5）剩余</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%转为质保金，在验收合格后一年后无质量问题一次性支付（无息）。</w:t>
      </w:r>
    </w:p>
    <w:p w14:paraId="02C467BE">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2、售后服务</w:t>
      </w:r>
    </w:p>
    <w:p w14:paraId="6B903438">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1</w:t>
      </w:r>
      <w:r>
        <w:rPr>
          <w:rFonts w:hint="eastAsia" w:ascii="宋体" w:hAnsi="宋体" w:eastAsia="宋体" w:cs="宋体"/>
          <w:sz w:val="24"/>
          <w:szCs w:val="24"/>
          <w:highlight w:val="none"/>
        </w:rPr>
        <w:t>质保期为终验收合格之日起一年。</w:t>
      </w:r>
    </w:p>
    <w:p w14:paraId="0025532D">
      <w:pPr>
        <w:widowControl w:val="0"/>
        <w:kinsoku/>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2.</w:t>
      </w:r>
      <w:r>
        <w:rPr>
          <w:rFonts w:ascii="宋体" w:hAnsi="宋体" w:eastAsia="宋体" w:cs="宋体"/>
          <w:sz w:val="24"/>
          <w:szCs w:val="24"/>
          <w:highlight w:val="none"/>
        </w:rPr>
        <w:t>2</w:t>
      </w:r>
      <w:r>
        <w:rPr>
          <w:rFonts w:hint="eastAsia" w:ascii="宋体" w:hAnsi="宋体" w:eastAsia="宋体" w:cs="宋体"/>
          <w:sz w:val="24"/>
          <w:szCs w:val="24"/>
          <w:highlight w:val="none"/>
        </w:rPr>
        <w:t>在质保期内，若因</w:t>
      </w:r>
      <w:r>
        <w:rPr>
          <w:rFonts w:hint="eastAsia" w:ascii="宋体" w:hAnsi="宋体" w:eastAsia="宋体" w:cs="宋体"/>
          <w:sz w:val="24"/>
          <w:szCs w:val="24"/>
          <w:highlight w:val="none"/>
          <w:lang w:val="en-US" w:eastAsia="zh-CN"/>
        </w:rPr>
        <w:t>设备</w:t>
      </w:r>
      <w:r>
        <w:rPr>
          <w:rFonts w:hint="eastAsia" w:ascii="宋体" w:hAnsi="宋体" w:eastAsia="宋体" w:cs="宋体"/>
          <w:sz w:val="24"/>
          <w:szCs w:val="24"/>
          <w:highlight w:val="none"/>
        </w:rPr>
        <w:t>故障造成停工，卖方应在</w:t>
      </w:r>
      <w:r>
        <w:rPr>
          <w:rFonts w:ascii="宋体" w:hAnsi="宋体" w:eastAsia="宋体" w:cs="宋体"/>
          <w:sz w:val="24"/>
          <w:szCs w:val="24"/>
          <w:highlight w:val="none"/>
        </w:rPr>
        <w:t>4</w:t>
      </w:r>
      <w:r>
        <w:rPr>
          <w:rFonts w:hint="eastAsia" w:ascii="宋体" w:hAnsi="宋体" w:eastAsia="宋体" w:cs="宋体"/>
          <w:sz w:val="24"/>
          <w:szCs w:val="24"/>
          <w:highlight w:val="none"/>
        </w:rPr>
        <w:t>小时内进行答复，</w:t>
      </w:r>
      <w:r>
        <w:rPr>
          <w:rFonts w:hint="eastAsia" w:ascii="宋体" w:hAnsi="宋体" w:eastAsia="宋体" w:cs="宋体"/>
          <w:sz w:val="24"/>
          <w:szCs w:val="24"/>
          <w:highlight w:val="none"/>
          <w:lang w:val="en-US" w:eastAsia="zh-CN"/>
        </w:rPr>
        <w:t>24</w:t>
      </w:r>
      <w:r>
        <w:rPr>
          <w:rFonts w:hint="eastAsia" w:ascii="宋体" w:hAnsi="宋体" w:eastAsia="宋体" w:cs="宋体"/>
          <w:sz w:val="24"/>
          <w:szCs w:val="24"/>
          <w:highlight w:val="none"/>
        </w:rPr>
        <w:t>小时内到达用户现场。</w:t>
      </w:r>
    </w:p>
    <w:p w14:paraId="729FA5B8">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3</w:t>
      </w:r>
      <w:r>
        <w:rPr>
          <w:rFonts w:hint="eastAsia" w:ascii="宋体" w:hAnsi="宋体" w:eastAsia="宋体" w:cs="宋体"/>
          <w:sz w:val="24"/>
          <w:szCs w:val="24"/>
        </w:rPr>
        <w:t>卖方应明确提出设备运行所需的配套风、水、气、电等设施及相应条件，如动力电源、空气压力和用量以及供给口等具体要求。</w:t>
      </w:r>
    </w:p>
    <w:p w14:paraId="4D424C9A">
      <w:pPr>
        <w:widowControl w:val="0"/>
        <w:kinsoku/>
        <w:spacing w:line="360" w:lineRule="auto"/>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4</w:t>
      </w:r>
      <w:r>
        <w:rPr>
          <w:rFonts w:hint="eastAsia" w:ascii="宋体" w:hAnsi="宋体" w:eastAsia="宋体" w:cs="宋体"/>
          <w:sz w:val="24"/>
          <w:szCs w:val="24"/>
        </w:rPr>
        <w:t>卖方应保证用户方在使用卖方提供的货物或其任何一部分时不受第三方提出侵犯专利权、商标权或工业设计权的指控。如果有第三方提出侵权指控，卖方须与第三方交涉并承担可能发生的一切法律责任和费用。</w:t>
      </w:r>
    </w:p>
    <w:p w14:paraId="169D6262">
      <w:pPr>
        <w:widowControl w:val="0"/>
        <w:kinsoku/>
        <w:spacing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3、其他要求</w:t>
      </w:r>
    </w:p>
    <w:p w14:paraId="7C288544">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.1</w:t>
      </w:r>
      <w:r>
        <w:rPr>
          <w:rFonts w:hint="eastAsia" w:ascii="宋体" w:hAnsi="宋体" w:eastAsia="宋体" w:cs="宋体"/>
          <w:sz w:val="24"/>
          <w:szCs w:val="24"/>
        </w:rPr>
        <w:t>投标方应对以上条款进行逐条响应，完全响应注明“</w:t>
      </w:r>
      <w:r>
        <w:rPr>
          <w:rFonts w:hint="eastAsia" w:ascii="宋体" w:hAnsi="宋体" w:eastAsia="宋体" w:cs="宋体"/>
          <w:b/>
          <w:sz w:val="24"/>
          <w:szCs w:val="24"/>
        </w:rPr>
        <w:t>符合</w:t>
      </w:r>
      <w:r>
        <w:rPr>
          <w:rFonts w:hint="eastAsia" w:ascii="宋体" w:hAnsi="宋体" w:eastAsia="宋体" w:cs="宋体"/>
          <w:sz w:val="24"/>
          <w:szCs w:val="24"/>
        </w:rPr>
        <w:t>”，如有偏离须注明“</w:t>
      </w:r>
      <w:r>
        <w:rPr>
          <w:rFonts w:hint="eastAsia" w:ascii="宋体" w:hAnsi="宋体" w:eastAsia="宋体" w:cs="宋体"/>
          <w:b/>
          <w:sz w:val="24"/>
          <w:szCs w:val="24"/>
        </w:rPr>
        <w:t>偏离</w:t>
      </w:r>
      <w:r>
        <w:rPr>
          <w:rFonts w:hint="eastAsia" w:ascii="宋体" w:hAnsi="宋体" w:eastAsia="宋体" w:cs="宋体"/>
          <w:sz w:val="24"/>
          <w:szCs w:val="24"/>
        </w:rPr>
        <w:t>”并描述偏离内容，是“</w:t>
      </w:r>
      <w:r>
        <w:rPr>
          <w:rFonts w:hint="eastAsia" w:ascii="宋体" w:hAnsi="宋体" w:eastAsia="宋体" w:cs="宋体"/>
          <w:b/>
          <w:sz w:val="24"/>
          <w:szCs w:val="24"/>
        </w:rPr>
        <w:t>优于</w:t>
      </w:r>
      <w:r>
        <w:rPr>
          <w:rFonts w:hint="eastAsia" w:ascii="宋体" w:hAnsi="宋体" w:eastAsia="宋体" w:cs="宋体"/>
          <w:sz w:val="24"/>
          <w:szCs w:val="24"/>
        </w:rPr>
        <w:t>”条款要求还是“</w:t>
      </w:r>
      <w:r>
        <w:rPr>
          <w:rFonts w:hint="eastAsia" w:ascii="宋体" w:hAnsi="宋体" w:eastAsia="宋体" w:cs="宋体"/>
          <w:b/>
          <w:sz w:val="24"/>
          <w:szCs w:val="24"/>
        </w:rPr>
        <w:t>未达到</w:t>
      </w:r>
      <w:r>
        <w:rPr>
          <w:rFonts w:hint="eastAsia" w:ascii="宋体" w:hAnsi="宋体" w:eastAsia="宋体" w:cs="宋体"/>
          <w:sz w:val="24"/>
          <w:szCs w:val="24"/>
        </w:rPr>
        <w:t>”条款要求。标★的条款</w:t>
      </w:r>
      <w:r>
        <w:rPr>
          <w:rFonts w:hint="eastAsia" w:ascii="宋体" w:hAnsi="宋体" w:eastAsia="宋体" w:cs="宋体"/>
          <w:sz w:val="24"/>
          <w:szCs w:val="24"/>
          <w:lang w:val="en-US" w:eastAsia="zh-CN"/>
        </w:rPr>
        <w:t>关键参数</w:t>
      </w:r>
      <w:r>
        <w:rPr>
          <w:rFonts w:hint="eastAsia" w:ascii="宋体" w:hAnsi="宋体" w:eastAsia="宋体" w:cs="宋体"/>
          <w:sz w:val="24"/>
          <w:szCs w:val="24"/>
        </w:rPr>
        <w:t>。</w:t>
      </w:r>
    </w:p>
    <w:p w14:paraId="3BFB9DF3">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.2</w:t>
      </w:r>
      <w:r>
        <w:rPr>
          <w:rFonts w:hint="eastAsia" w:ascii="宋体" w:hAnsi="宋体" w:eastAsia="宋体" w:cs="宋体"/>
          <w:sz w:val="24"/>
          <w:szCs w:val="24"/>
        </w:rPr>
        <w:t>本招标文件中涉及产品的品牌、型号，仅为供应商提供报价产品的技术指标、产品质量的客观参考，帮助供应商准确理解采购人的需求，其建议产品的品牌、型号具有可替代性，但必须明确说明。</w:t>
      </w:r>
    </w:p>
    <w:p w14:paraId="6649BEE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.3</w:t>
      </w:r>
      <w:r>
        <w:rPr>
          <w:rFonts w:hint="eastAsia" w:ascii="宋体" w:hAnsi="宋体" w:eastAsia="宋体" w:cs="宋体"/>
          <w:sz w:val="24"/>
          <w:szCs w:val="24"/>
        </w:rPr>
        <w:t>本文件中甲方、用户、需方、买方等泛指采购人，乙方、供方、卖方等泛指供应商。</w:t>
      </w:r>
    </w:p>
    <w:p w14:paraId="4A942FDB">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.4</w:t>
      </w:r>
      <w:r>
        <w:rPr>
          <w:rFonts w:hint="eastAsia" w:ascii="宋体" w:hAnsi="宋体" w:eastAsia="宋体" w:cs="宋体"/>
          <w:sz w:val="24"/>
          <w:szCs w:val="24"/>
        </w:rPr>
        <w:t>投标方应另附独立章节详细说明设备结构特点、技术参数、配置等。</w:t>
      </w:r>
    </w:p>
    <w:p w14:paraId="5A1BA3E7">
      <w:pPr>
        <w:widowControl w:val="0"/>
        <w:kinsoku/>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.5</w:t>
      </w:r>
      <w:r>
        <w:rPr>
          <w:rFonts w:hint="eastAsia" w:ascii="宋体" w:hAnsi="宋体" w:eastAsia="宋体" w:cs="宋体"/>
          <w:sz w:val="24"/>
          <w:szCs w:val="24"/>
        </w:rPr>
        <w:t>投标方应另附独立章节详细说明原厂商规模实力、技术服务能力，卖方规模实力、技术服务能力。</w:t>
      </w:r>
    </w:p>
    <w:p w14:paraId="1B81E18A">
      <w:pPr>
        <w:pStyle w:val="2"/>
        <w:spacing w:line="360" w:lineRule="auto"/>
        <w:ind w:firstLine="480"/>
        <w:rPr>
          <w:rFonts w:ascii="宋体" w:hAnsi="宋体" w:eastAsia="宋体" w:cs="宋体"/>
          <w:sz w:val="24"/>
          <w:szCs w:val="24"/>
        </w:rPr>
      </w:pPr>
    </w:p>
    <w:p w14:paraId="17644DF7">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36A61E72">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01B8AF1A">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2986A566">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6A868AAC">
      <w:pPr>
        <w:widowControl w:val="0"/>
        <w:kinsoku/>
        <w:autoSpaceDE/>
        <w:autoSpaceDN/>
        <w:adjustRightInd/>
        <w:snapToGrid/>
        <w:spacing w:line="360" w:lineRule="auto"/>
        <w:ind w:firstLine="723" w:firstLineChars="200"/>
        <w:jc w:val="center"/>
        <w:textAlignment w:val="auto"/>
        <w:rPr>
          <w:rFonts w:ascii="宋体" w:hAnsi="宋体" w:eastAsia="宋体" w:cs="宋体"/>
          <w:b/>
          <w:bCs/>
          <w:sz w:val="36"/>
          <w:szCs w:val="44"/>
        </w:rPr>
      </w:pPr>
    </w:p>
    <w:p w14:paraId="6D80E055">
      <w:pPr>
        <w:pStyle w:val="2"/>
        <w:rPr>
          <w:rFonts w:ascii="宋体" w:hAnsi="宋体" w:eastAsia="宋体" w:cs="宋体"/>
          <w:b/>
          <w:bCs/>
          <w:sz w:val="36"/>
          <w:szCs w:val="44"/>
        </w:rPr>
      </w:pPr>
    </w:p>
    <w:p w14:paraId="00FAE655">
      <w:pPr>
        <w:pStyle w:val="2"/>
        <w:ind w:left="0" w:leftChars="0" w:firstLine="0" w:firstLineChars="0"/>
        <w:rPr>
          <w:rFonts w:ascii="宋体" w:hAnsi="宋体" w:eastAsia="宋体" w:cs="宋体"/>
          <w:b/>
          <w:bCs/>
          <w:sz w:val="36"/>
          <w:szCs w:val="44"/>
        </w:rPr>
      </w:pPr>
    </w:p>
    <w:p w14:paraId="5BD90238">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bookmarkStart w:id="5" w:name="_Toc22926"/>
    </w:p>
    <w:p w14:paraId="4FF1B34D">
      <w:pPr>
        <w:spacing w:before="240" w:beforeLines="100" w:line="360" w:lineRule="auto"/>
        <w:jc w:val="center"/>
        <w:outlineLvl w:val="0"/>
        <w:rPr>
          <w:rFonts w:hint="eastAsia" w:ascii="宋体" w:hAnsi="宋体" w:eastAsia="宋体" w:cs="宋体"/>
          <w:b/>
          <w:sz w:val="36"/>
          <w:szCs w:val="36"/>
          <w14:textOutline w14:w="6527" w14:cap="flat" w14:cmpd="sng" w14:algn="ctr">
            <w14:solidFill>
              <w14:srgbClr w14:val="000000"/>
            </w14:solidFill>
            <w14:prstDash w14:val="solid"/>
            <w14:miter w14:val="0"/>
          </w14:textOutline>
        </w:rPr>
      </w:pPr>
    </w:p>
    <w:p w14:paraId="6157A77B">
      <w:pPr>
        <w:spacing w:before="240" w:beforeLines="100" w:line="360" w:lineRule="auto"/>
        <w:jc w:val="center"/>
        <w:outlineLvl w:val="0"/>
        <w:rPr>
          <w:rFonts w:ascii="宋体" w:hAnsi="宋体" w:eastAsia="宋体" w:cs="宋体"/>
          <w:b/>
          <w:sz w:val="36"/>
          <w:szCs w:val="36"/>
          <w14:textOutline w14:w="6527" w14:cap="flat" w14:cmpd="sng" w14:algn="ctr">
            <w14:solidFill>
              <w14:srgbClr w14:val="000000"/>
            </w14:solidFill>
            <w14:prstDash w14:val="solid"/>
            <w14:miter w14:val="0"/>
          </w14:textOutline>
        </w:rPr>
      </w:pPr>
      <w:r>
        <w:rPr>
          <w:rFonts w:hint="eastAsia" w:ascii="宋体" w:hAnsi="宋体" w:eastAsia="宋体" w:cs="宋体"/>
          <w:b/>
          <w:sz w:val="36"/>
          <w:szCs w:val="36"/>
          <w14:textOutline w14:w="6527" w14:cap="flat" w14:cmpd="sng" w14:algn="ctr">
            <w14:solidFill>
              <w14:srgbClr w14:val="000000"/>
            </w14:solidFill>
            <w14:prstDash w14:val="solid"/>
            <w14:miter w14:val="0"/>
          </w14:textOutline>
        </w:rPr>
        <w:t>二、投标人须知</w:t>
      </w:r>
      <w:bookmarkEnd w:id="5"/>
    </w:p>
    <w:p w14:paraId="428CCCD4">
      <w:pPr>
        <w:spacing w:before="329" w:line="360" w:lineRule="auto"/>
        <w:ind w:firstLine="560" w:firstLineChars="200"/>
        <w:rPr>
          <w:rFonts w:ascii="黑体" w:hAnsi="黑体" w:eastAsia="黑体" w:cs="黑体"/>
          <w:sz w:val="28"/>
          <w:szCs w:val="28"/>
        </w:rPr>
      </w:pPr>
      <w:r>
        <w:rPr>
          <w:rFonts w:hint="eastAsia" w:ascii="黑体" w:hAnsi="黑体" w:eastAsia="黑体" w:cs="黑体"/>
          <w:sz w:val="28"/>
          <w:szCs w:val="28"/>
        </w:rPr>
        <w:t>（一）</w:t>
      </w:r>
      <w:r>
        <w:rPr>
          <w:rFonts w:ascii="黑体" w:hAnsi="黑体" w:eastAsia="黑体" w:cs="黑体"/>
          <w:sz w:val="28"/>
          <w:szCs w:val="28"/>
        </w:rPr>
        <w:t>投标要求</w:t>
      </w:r>
    </w:p>
    <w:p w14:paraId="5F91C79B">
      <w:pPr>
        <w:spacing w:before="255"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投标人应遵守国家有关招标投标法律、法规、部门规章和规范性文件。</w:t>
      </w:r>
    </w:p>
    <w:p w14:paraId="6DBBFE83">
      <w:pPr>
        <w:spacing w:before="227"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投标资</w:t>
      </w:r>
      <w:r>
        <w:rPr>
          <w:rFonts w:hint="eastAsia" w:ascii="宋体" w:hAnsi="宋体" w:eastAsia="宋体" w:cs="宋体"/>
          <w:sz w:val="24"/>
          <w:szCs w:val="24"/>
        </w:rPr>
        <w:t>格（包括但不限于）：</w:t>
      </w:r>
    </w:p>
    <w:p w14:paraId="2D596244">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具有独立承担民事责任的能力；具有良好的商业信誉和健全的财务会计制度；具有履合同所必需的产品和专业技术能力；有依法缴纳税收和社会保障资金的良好记录；参加政府采购活动前三年内，在经营活动中没有重大违法记录；法律、行政法规规定的其它条件；</w:t>
      </w:r>
    </w:p>
    <w:p w14:paraId="36455284">
      <w:pPr>
        <w:tabs>
          <w:tab w:val="left" w:pos="620"/>
        </w:tabs>
        <w:spacing w:before="34" w:line="360" w:lineRule="auto"/>
        <w:ind w:firstLine="480" w:firstLineChars="200"/>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.2满足招标文件中招标公告及项目要求等的其它条件。</w:t>
      </w:r>
    </w:p>
    <w:p w14:paraId="34612834">
      <w:pPr>
        <w:numPr>
          <w:ilvl w:val="0"/>
          <w:numId w:val="1"/>
        </w:num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投标费用：投标人应承担投标过程中所涉及的一切费用，不管投标结果如何，招标人对上述费用不负任何责任。</w:t>
      </w:r>
    </w:p>
    <w:p w14:paraId="2E52BEB7">
      <w:pPr>
        <w:spacing w:before="227" w:line="360" w:lineRule="auto"/>
        <w:ind w:firstLine="480" w:firstLineChars="200"/>
        <w:rPr>
          <w:rFonts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货物及伴随服务</w:t>
      </w:r>
    </w:p>
    <w:p w14:paraId="28E04573">
      <w:pPr>
        <w:tabs>
          <w:tab w:val="left" w:pos="620"/>
        </w:tabs>
        <w:spacing w:before="34"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投标人除按照招标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256367B0">
      <w:pPr>
        <w:spacing w:before="329" w:line="360" w:lineRule="auto"/>
        <w:ind w:firstLine="560" w:firstLineChars="200"/>
        <w:rPr>
          <w:rFonts w:ascii="黑体" w:hAnsi="黑体" w:eastAsia="黑体" w:cs="黑体"/>
          <w:sz w:val="28"/>
          <w:szCs w:val="28"/>
        </w:rPr>
      </w:pPr>
      <w:r>
        <w:rPr>
          <w:rFonts w:hint="eastAsia" w:ascii="黑体" w:hAnsi="黑体" w:eastAsia="黑体" w:cs="黑体"/>
          <w:sz w:val="28"/>
          <w:szCs w:val="28"/>
        </w:rPr>
        <w:t>（二）投标报价</w:t>
      </w:r>
    </w:p>
    <w:p w14:paraId="7E62B4EB">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1、投标报价要求按招标文件要求报价，并按招标文件中所</w:t>
      </w:r>
      <w:r>
        <w:rPr>
          <w:rFonts w:ascii="宋体" w:hAnsi="宋体" w:eastAsia="宋体" w:cs="宋体"/>
          <w:sz w:val="24"/>
          <w:szCs w:val="24"/>
        </w:rPr>
        <w:t>附《投标函》</w:t>
      </w:r>
      <w:r>
        <w:rPr>
          <w:rFonts w:hint="eastAsia" w:ascii="宋体" w:hAnsi="宋体" w:eastAsia="宋体" w:cs="宋体"/>
          <w:sz w:val="24"/>
          <w:szCs w:val="24"/>
        </w:rPr>
        <w:t>、</w:t>
      </w:r>
      <w:r>
        <w:rPr>
          <w:rFonts w:ascii="宋体" w:hAnsi="宋体" w:eastAsia="宋体" w:cs="宋体"/>
          <w:sz w:val="24"/>
          <w:szCs w:val="24"/>
        </w:rPr>
        <w:t>《投标报价表》格式填写。</w:t>
      </w:r>
    </w:p>
    <w:p w14:paraId="1E9C837D">
      <w:pPr>
        <w:spacing w:before="228"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所有投标均以人民币报价。</w:t>
      </w:r>
    </w:p>
    <w:p w14:paraId="7AD18F45">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3、投标人所报单价在本招标文件项下的合同履行期间不能因市场变化因素而变动。</w:t>
      </w:r>
    </w:p>
    <w:p w14:paraId="6797979D">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4、投标人所报的各种价格均为含税到招标人指定地点交货价（包含产品包装、运输、装卸等相关费用）；投标报价以元为单位，精确到小数点后两位数，超出两位按四舍五入计；包装物投标人不回收，费用由投标人负担。</w:t>
      </w:r>
    </w:p>
    <w:p w14:paraId="32CA25EB">
      <w:pPr>
        <w:spacing w:before="257" w:line="360" w:lineRule="auto"/>
        <w:ind w:right="75" w:firstLine="480" w:firstLineChars="200"/>
        <w:rPr>
          <w:rFonts w:ascii="宋体" w:hAnsi="宋体" w:eastAsia="宋体" w:cs="宋体"/>
          <w:sz w:val="24"/>
          <w:szCs w:val="24"/>
        </w:rPr>
      </w:pPr>
      <w:r>
        <w:rPr>
          <w:rFonts w:hint="eastAsia" w:ascii="宋体" w:hAnsi="宋体" w:eastAsia="宋体" w:cs="宋体"/>
          <w:sz w:val="24"/>
          <w:szCs w:val="24"/>
        </w:rPr>
        <w:t>5、招标人有权重视各投标人全部报价的合理性。所有投标人不能相互串通、哄抬报价，若有发现，招标人有权宣布其投标无效。</w:t>
      </w:r>
    </w:p>
    <w:p w14:paraId="65538523">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三</w:t>
      </w:r>
      <w:r>
        <w:rPr>
          <w:rFonts w:hint="eastAsia" w:ascii="黑体" w:hAnsi="黑体" w:eastAsia="黑体" w:cs="黑体"/>
          <w:sz w:val="28"/>
          <w:szCs w:val="28"/>
        </w:rPr>
        <w:t>）</w:t>
      </w:r>
      <w:r>
        <w:rPr>
          <w:rFonts w:ascii="黑体" w:hAnsi="黑体" w:eastAsia="黑体" w:cs="黑体"/>
          <w:sz w:val="28"/>
          <w:szCs w:val="28"/>
        </w:rPr>
        <w:t>投标文件</w:t>
      </w:r>
    </w:p>
    <w:p w14:paraId="265F6AB4">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1、投标人应填写其单位名称全称。</w:t>
      </w:r>
    </w:p>
    <w:p w14:paraId="5BF067B7">
      <w:pPr>
        <w:spacing w:line="44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投标文件包括《投标函》、《投标报价表》、《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z w:val="24"/>
          <w:szCs w:val="24"/>
          <w:lang w:eastAsia="zh-CN"/>
        </w:rPr>
        <w:t>（</w:t>
      </w:r>
      <w:r>
        <w:rPr>
          <w:rFonts w:hint="eastAsia" w:ascii="宋体" w:hAnsi="宋体" w:eastAsia="宋体" w:cs="宋体"/>
          <w:sz w:val="24"/>
          <w:szCs w:val="24"/>
        </w:rPr>
        <w:t>如果有）》</w:t>
      </w:r>
      <w:r>
        <w:rPr>
          <w:rFonts w:hint="eastAsia" w:ascii="宋体" w:hAnsi="宋体" w:eastAsia="宋体" w:cs="宋体"/>
          <w:sz w:val="24"/>
          <w:szCs w:val="24"/>
          <w:lang w:eastAsia="zh-CN"/>
        </w:rPr>
        <w:t>、《</w:t>
      </w:r>
      <w:r>
        <w:rPr>
          <w:rFonts w:hint="eastAsia" w:ascii="宋体" w:hAnsi="宋体" w:eastAsia="宋体" w:cs="宋体"/>
          <w:sz w:val="24"/>
          <w:szCs w:val="24"/>
        </w:rPr>
        <w:t>企业信用等级证书（如果有）</w:t>
      </w:r>
      <w:r>
        <w:rPr>
          <w:rFonts w:hint="eastAsia" w:ascii="宋体" w:hAnsi="宋体" w:eastAsia="宋体" w:cs="宋体"/>
          <w:sz w:val="24"/>
          <w:szCs w:val="24"/>
          <w:lang w:eastAsia="zh-CN"/>
        </w:rPr>
        <w:t>》、《</w:t>
      </w:r>
      <w:r>
        <w:rPr>
          <w:rFonts w:hint="eastAsia" w:ascii="宋体" w:hAnsi="宋体" w:eastAsia="宋体" w:cs="宋体"/>
          <w:sz w:val="24"/>
          <w:szCs w:val="24"/>
        </w:rPr>
        <w:t>质量、环境、健康体系证书（如果有）</w:t>
      </w:r>
      <w:r>
        <w:rPr>
          <w:rFonts w:hint="eastAsia" w:ascii="宋体" w:hAnsi="宋体" w:eastAsia="宋体" w:cs="宋体"/>
          <w:sz w:val="24"/>
          <w:szCs w:val="24"/>
          <w:lang w:eastAsia="zh-CN"/>
        </w:rPr>
        <w:t>》、《</w:t>
      </w:r>
      <w:r>
        <w:rPr>
          <w:rFonts w:hint="eastAsia" w:ascii="宋体" w:hAnsi="宋体" w:eastAsia="宋体" w:cs="宋体"/>
          <w:sz w:val="24"/>
          <w:szCs w:val="24"/>
        </w:rPr>
        <w:t>上一年度企业财务会计报告</w:t>
      </w:r>
      <w:r>
        <w:rPr>
          <w:rFonts w:hint="eastAsia" w:ascii="宋体" w:hAnsi="宋体" w:eastAsia="宋体" w:cs="宋体"/>
          <w:sz w:val="24"/>
          <w:szCs w:val="24"/>
          <w:lang w:eastAsia="zh-CN"/>
        </w:rPr>
        <w:t>》</w:t>
      </w:r>
    </w:p>
    <w:p w14:paraId="40892162">
      <w:pPr>
        <w:spacing w:line="440" w:lineRule="exac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投标人企业概况及综合情况说明</w:t>
      </w:r>
      <w:r>
        <w:rPr>
          <w:rFonts w:hint="eastAsia" w:ascii="宋体" w:hAnsi="宋体" w:eastAsia="宋体" w:cs="宋体"/>
          <w:sz w:val="24"/>
          <w:szCs w:val="24"/>
          <w:lang w:eastAsia="zh-CN"/>
        </w:rPr>
        <w:t>》、《</w:t>
      </w:r>
      <w:r>
        <w:rPr>
          <w:rFonts w:hint="eastAsia" w:ascii="宋体" w:hAnsi="宋体" w:eastAsia="宋体" w:cs="宋体"/>
          <w:sz w:val="24"/>
          <w:szCs w:val="24"/>
        </w:rPr>
        <w:t>服务承诺</w:t>
      </w:r>
      <w:r>
        <w:rPr>
          <w:rFonts w:hint="eastAsia" w:ascii="宋体" w:hAnsi="宋体" w:eastAsia="宋体" w:cs="宋体"/>
          <w:sz w:val="24"/>
          <w:szCs w:val="24"/>
          <w:lang w:eastAsia="zh-CN"/>
        </w:rPr>
        <w:t>》</w:t>
      </w:r>
      <w:r>
        <w:rPr>
          <w:rFonts w:hint="eastAsia" w:ascii="宋体" w:hAnsi="宋体" w:eastAsia="宋体" w:cs="宋体"/>
          <w:sz w:val="24"/>
          <w:szCs w:val="24"/>
        </w:rPr>
        <w:t>和投标人认为需要提供的其他相关数据和资料。</w:t>
      </w:r>
    </w:p>
    <w:p w14:paraId="1D7F1EF6">
      <w:pPr>
        <w:spacing w:before="226" w:line="360" w:lineRule="auto"/>
        <w:ind w:right="61" w:firstLine="480" w:firstLineChars="200"/>
        <w:rPr>
          <w:rFonts w:ascii="宋体" w:hAnsi="宋体" w:eastAsia="宋体" w:cs="宋体"/>
          <w:sz w:val="24"/>
          <w:szCs w:val="24"/>
        </w:rPr>
      </w:pPr>
      <w:r>
        <w:rPr>
          <w:rFonts w:hint="eastAsia" w:ascii="宋体" w:hAnsi="宋体" w:eastAsia="宋体" w:cs="宋体"/>
          <w:sz w:val="24"/>
          <w:szCs w:val="24"/>
        </w:rPr>
        <w:t>3、《投标函》、《投标报价表》须加盖投标人公章，由其法定代表人或其委托代理人亲笔签字。</w:t>
      </w:r>
    </w:p>
    <w:p w14:paraId="0B2395B2">
      <w:pPr>
        <w:spacing w:before="226" w:line="360" w:lineRule="auto"/>
        <w:ind w:right="61" w:firstLine="480" w:firstLineChars="200"/>
        <w:rPr>
          <w:rFonts w:ascii="黑体" w:hAnsi="黑体" w:eastAsia="黑体" w:cs="黑体"/>
          <w:sz w:val="28"/>
          <w:szCs w:val="28"/>
        </w:rPr>
      </w:pPr>
      <w:r>
        <w:rPr>
          <w:rFonts w:hint="eastAsia" w:ascii="宋体" w:hAnsi="宋体" w:eastAsia="宋体" w:cs="宋体"/>
          <w:sz w:val="24"/>
          <w:szCs w:val="24"/>
        </w:rPr>
        <w:t>4、自开标之日起60天内，投标文件应保持有效。有效期短于前述规定期限的投标，将被拒绝。</w:t>
      </w:r>
    </w:p>
    <w:p w14:paraId="607720D3">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四</w:t>
      </w:r>
      <w:r>
        <w:rPr>
          <w:rFonts w:hint="eastAsia" w:ascii="黑体" w:hAnsi="黑体" w:eastAsia="黑体" w:cs="黑体"/>
          <w:sz w:val="28"/>
          <w:szCs w:val="28"/>
        </w:rPr>
        <w:t>）</w:t>
      </w:r>
      <w:r>
        <w:rPr>
          <w:rFonts w:ascii="黑体" w:hAnsi="黑体" w:eastAsia="黑体" w:cs="黑体"/>
          <w:sz w:val="28"/>
          <w:szCs w:val="28"/>
        </w:rPr>
        <w:t>开标、评标、定标</w:t>
      </w:r>
    </w:p>
    <w:p w14:paraId="7635FE26">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1、开标时，将按照招标人有关招投标规定执行。</w:t>
      </w:r>
    </w:p>
    <w:p w14:paraId="7A6289F1">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2、开标后由招标人组建的评标委员会进行评标，</w:t>
      </w:r>
      <w:r>
        <w:rPr>
          <w:rFonts w:ascii="宋体" w:hAnsi="宋体" w:eastAsia="宋体" w:cs="宋体"/>
          <w:sz w:val="24"/>
          <w:szCs w:val="24"/>
        </w:rPr>
        <w:t>以经评审的</w:t>
      </w:r>
      <w:r>
        <w:rPr>
          <w:rFonts w:hint="eastAsia" w:ascii="宋体" w:hAnsi="宋体" w:eastAsia="宋体" w:cs="宋体"/>
          <w:sz w:val="24"/>
          <w:szCs w:val="24"/>
        </w:rPr>
        <w:t>综合评分</w:t>
      </w:r>
      <w:r>
        <w:rPr>
          <w:rFonts w:ascii="宋体" w:hAnsi="宋体" w:eastAsia="宋体" w:cs="宋体"/>
          <w:sz w:val="24"/>
          <w:szCs w:val="24"/>
        </w:rPr>
        <w:t>法确定中标人。</w:t>
      </w:r>
    </w:p>
    <w:p w14:paraId="74D7201C">
      <w:pPr>
        <w:spacing w:before="225"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招标人不对未中标的投标人作任何解释，不退还投标文件。</w:t>
      </w:r>
    </w:p>
    <w:p w14:paraId="05D202DB">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五</w:t>
      </w:r>
      <w:r>
        <w:rPr>
          <w:rFonts w:hint="eastAsia" w:ascii="黑体" w:hAnsi="黑体" w:eastAsia="黑体" w:cs="黑体"/>
          <w:sz w:val="28"/>
          <w:szCs w:val="28"/>
        </w:rPr>
        <w:t>）</w:t>
      </w:r>
      <w:r>
        <w:rPr>
          <w:rFonts w:ascii="黑体" w:hAnsi="黑体" w:eastAsia="黑体" w:cs="黑体"/>
          <w:sz w:val="28"/>
          <w:szCs w:val="28"/>
        </w:rPr>
        <w:t>合同签订</w:t>
      </w:r>
    </w:p>
    <w:p w14:paraId="67B35725">
      <w:pPr>
        <w:spacing w:before="257"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中标人应在接到中标通知书之日起</w:t>
      </w:r>
      <w:r>
        <w:rPr>
          <w:rFonts w:hint="eastAsia" w:ascii="宋体" w:hAnsi="宋体" w:eastAsia="宋体" w:cs="宋体"/>
          <w:sz w:val="24"/>
          <w:szCs w:val="24"/>
          <w:lang w:val="en-US" w:eastAsia="zh-CN"/>
        </w:rPr>
        <w:t>10</w:t>
      </w:r>
      <w:r>
        <w:rPr>
          <w:rFonts w:ascii="宋体" w:hAnsi="宋体" w:eastAsia="宋体" w:cs="宋体"/>
          <w:sz w:val="24"/>
          <w:szCs w:val="24"/>
        </w:rPr>
        <w:t>日内（含节假日）与招标人签订买卖合同，中标人因自身原因不与招标人签订买卖合同的，视为自愿放弃该次中标。</w:t>
      </w:r>
    </w:p>
    <w:p w14:paraId="34BAEFA4">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中标人必须保证中标产品质量的稳定，如果招标人发现产品质量不符合本招标文件要求的标准，或者发生质量下降，招标人有权单方面终止买卖合同。</w:t>
      </w:r>
    </w:p>
    <w:p w14:paraId="58E0D8AB">
      <w:pPr>
        <w:spacing w:before="228"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中标人延误买卖合同约定的产品交付期限，招标人有权追究中标人责任。</w:t>
      </w:r>
    </w:p>
    <w:p w14:paraId="26658231">
      <w:pPr>
        <w:spacing w:before="226" w:line="360" w:lineRule="auto"/>
        <w:ind w:right="80" w:firstLine="480" w:firstLineChars="200"/>
      </w:pPr>
      <w:r>
        <w:rPr>
          <w:rFonts w:hint="eastAsia" w:ascii="宋体" w:hAnsi="宋体" w:eastAsia="宋体" w:cs="宋体"/>
          <w:sz w:val="24"/>
          <w:szCs w:val="24"/>
        </w:rPr>
        <w:t>4、</w:t>
      </w:r>
      <w:r>
        <w:rPr>
          <w:rFonts w:ascii="宋体" w:hAnsi="宋体" w:eastAsia="宋体" w:cs="宋体"/>
          <w:sz w:val="24"/>
          <w:szCs w:val="24"/>
        </w:rPr>
        <w:t>在买卖合同有效期内，中标人如违反买卖合同的约定，招标人有权单方面终止买卖合同。</w:t>
      </w:r>
    </w:p>
    <w:p w14:paraId="6A5B06C2">
      <w:pPr>
        <w:spacing w:before="229"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六</w:t>
      </w:r>
      <w:r>
        <w:rPr>
          <w:rFonts w:hint="eastAsia" w:ascii="黑体" w:hAnsi="黑体" w:eastAsia="黑体" w:cs="黑体"/>
          <w:sz w:val="28"/>
          <w:szCs w:val="28"/>
        </w:rPr>
        <w:t>）</w:t>
      </w:r>
      <w:r>
        <w:rPr>
          <w:rFonts w:ascii="黑体" w:hAnsi="黑体" w:eastAsia="黑体" w:cs="黑体"/>
          <w:sz w:val="28"/>
          <w:szCs w:val="28"/>
        </w:rPr>
        <w:t>纪律要求</w:t>
      </w:r>
    </w:p>
    <w:p w14:paraId="7064A897">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14:paraId="2119B16A">
      <w:pPr>
        <w:spacing w:before="228"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评标委员会及其组成人员应严格自律，严格遵守国家法律、法规，并接受监察部门的监督。</w:t>
      </w:r>
    </w:p>
    <w:p w14:paraId="58B2F05F">
      <w:pPr>
        <w:spacing w:before="231" w:line="360" w:lineRule="auto"/>
        <w:ind w:firstLine="560" w:firstLineChars="200"/>
        <w:rPr>
          <w:rFonts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七</w:t>
      </w:r>
      <w:r>
        <w:rPr>
          <w:rFonts w:hint="eastAsia" w:ascii="黑体" w:hAnsi="黑体" w:eastAsia="黑体" w:cs="黑体"/>
          <w:sz w:val="28"/>
          <w:szCs w:val="28"/>
        </w:rPr>
        <w:t>）</w:t>
      </w:r>
      <w:r>
        <w:rPr>
          <w:rFonts w:ascii="黑体" w:hAnsi="黑体" w:eastAsia="黑体" w:cs="黑体"/>
          <w:sz w:val="28"/>
          <w:szCs w:val="28"/>
        </w:rPr>
        <w:t>其他</w:t>
      </w:r>
    </w:p>
    <w:p w14:paraId="35D13D32">
      <w:pPr>
        <w:spacing w:before="256"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中标人若改变生产工艺，需征得招标人同意，并需重新认可。</w:t>
      </w:r>
    </w:p>
    <w:p w14:paraId="15C3A47D">
      <w:pPr>
        <w:spacing w:before="225" w:line="360" w:lineRule="auto"/>
        <w:ind w:right="82" w:firstLine="480" w:firstLineChars="200"/>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z w:val="24"/>
          <w:szCs w:val="24"/>
        </w:rPr>
        <w:t>。</w:t>
      </w:r>
    </w:p>
    <w:p w14:paraId="078F8C0C">
      <w:pPr>
        <w:pStyle w:val="2"/>
        <w:spacing w:line="360" w:lineRule="auto"/>
        <w:ind w:firstLine="480"/>
        <w:rPr>
          <w:rFonts w:ascii="宋体" w:hAnsi="宋体" w:eastAsia="宋体" w:cs="宋体"/>
          <w:sz w:val="24"/>
          <w:szCs w:val="24"/>
        </w:rPr>
      </w:pPr>
    </w:p>
    <w:p w14:paraId="61B097CC">
      <w:pPr>
        <w:pStyle w:val="2"/>
        <w:spacing w:line="360" w:lineRule="auto"/>
        <w:ind w:firstLine="480"/>
        <w:rPr>
          <w:rFonts w:ascii="宋体" w:hAnsi="宋体" w:eastAsia="宋体" w:cs="宋体"/>
          <w:sz w:val="24"/>
          <w:szCs w:val="24"/>
        </w:rPr>
      </w:pPr>
    </w:p>
    <w:p w14:paraId="3C7EC76D">
      <w:pPr>
        <w:kinsoku/>
        <w:autoSpaceDE/>
        <w:autoSpaceDN/>
        <w:adjustRightInd/>
        <w:snapToGrid/>
        <w:spacing w:line="360" w:lineRule="auto"/>
        <w:textAlignment w:val="auto"/>
        <w:rPr>
          <w:rFonts w:ascii="宋体" w:hAnsi="宋体" w:eastAsia="宋体" w:cs="宋体"/>
          <w:b/>
          <w:bCs/>
          <w:sz w:val="36"/>
          <w:szCs w:val="44"/>
        </w:rPr>
      </w:pPr>
      <w:r>
        <w:rPr>
          <w:rFonts w:ascii="宋体" w:hAnsi="宋体" w:eastAsia="宋体" w:cs="宋体"/>
          <w:b/>
          <w:bCs/>
          <w:sz w:val="36"/>
          <w:szCs w:val="44"/>
        </w:rPr>
        <w:br w:type="page"/>
      </w:r>
    </w:p>
    <w:p w14:paraId="08155D3B">
      <w:pPr>
        <w:widowControl w:val="0"/>
        <w:kinsoku/>
        <w:autoSpaceDE/>
        <w:autoSpaceDN/>
        <w:adjustRightInd/>
        <w:snapToGrid/>
        <w:spacing w:line="360" w:lineRule="auto"/>
        <w:ind w:firstLine="480" w:firstLineChars="200"/>
        <w:jc w:val="center"/>
        <w:textAlignment w:val="auto"/>
        <w:rPr>
          <w:rFonts w:ascii="宋体" w:hAnsi="宋体" w:eastAsia="宋体" w:cs="宋体"/>
          <w:sz w:val="24"/>
          <w:szCs w:val="32"/>
          <w:highlight w:val="none"/>
        </w:rPr>
      </w:pPr>
    </w:p>
    <w:p w14:paraId="59220121">
      <w:pPr>
        <w:widowControl w:val="0"/>
        <w:kinsoku/>
        <w:autoSpaceDE/>
        <w:autoSpaceDN/>
        <w:adjustRightInd/>
        <w:snapToGrid/>
        <w:spacing w:line="360" w:lineRule="auto"/>
        <w:ind w:firstLine="723" w:firstLineChars="200"/>
        <w:jc w:val="center"/>
        <w:textAlignment w:val="auto"/>
        <w:rPr>
          <w:rFonts w:ascii="宋体" w:hAnsi="宋体" w:eastAsia="宋体" w:cs="宋体"/>
          <w:sz w:val="24"/>
          <w:szCs w:val="32"/>
          <w:highlight w:val="none"/>
        </w:rPr>
      </w:pPr>
      <w:r>
        <w:rPr>
          <w:rFonts w:hint="eastAsia" w:ascii="宋体" w:hAnsi="宋体" w:eastAsia="宋体" w:cs="宋体"/>
          <w:b/>
          <w:bCs/>
          <w:sz w:val="36"/>
          <w:szCs w:val="44"/>
          <w:highlight w:val="none"/>
          <w:lang w:val="en-US" w:eastAsia="zh-CN"/>
        </w:rPr>
        <w:t>综合</w:t>
      </w:r>
      <w:r>
        <w:rPr>
          <w:rFonts w:hint="eastAsia" w:ascii="宋体" w:hAnsi="宋体" w:eastAsia="宋体" w:cs="宋体"/>
          <w:b/>
          <w:bCs/>
          <w:sz w:val="36"/>
          <w:szCs w:val="44"/>
          <w:highlight w:val="none"/>
        </w:rPr>
        <w:t>评标评分标准</w:t>
      </w:r>
    </w:p>
    <w:p w14:paraId="5EAFB0C3">
      <w:pPr>
        <w:widowControl w:val="0"/>
        <w:kinsoku/>
        <w:autoSpaceDE/>
        <w:autoSpaceDN/>
        <w:adjustRightInd/>
        <w:snapToGrid/>
        <w:spacing w:before="120" w:beforeLines="50" w:line="360" w:lineRule="auto"/>
        <w:ind w:firstLine="482" w:firstLineChars="200"/>
        <w:jc w:val="both"/>
        <w:textAlignment w:val="auto"/>
        <w:rPr>
          <w:rFonts w:ascii="宋体" w:hAnsi="宋体" w:eastAsia="宋体" w:cs="宋体"/>
          <w:b/>
          <w:bCs/>
          <w:sz w:val="24"/>
          <w:highlight w:val="none"/>
        </w:rPr>
      </w:pPr>
      <w:r>
        <w:rPr>
          <w:rFonts w:hint="eastAsia" w:ascii="宋体" w:hAnsi="宋体" w:eastAsia="宋体" w:cs="宋体"/>
          <w:b/>
          <w:bCs/>
          <w:sz w:val="24"/>
          <w:highlight w:val="none"/>
        </w:rPr>
        <w:t>1、技术部分（分值</w:t>
      </w:r>
      <w:r>
        <w:rPr>
          <w:rFonts w:hint="eastAsia" w:ascii="宋体" w:hAnsi="宋体" w:eastAsia="宋体" w:cs="宋体"/>
          <w:b/>
          <w:bCs/>
          <w:sz w:val="24"/>
          <w:highlight w:val="none"/>
          <w:lang w:val="en-US" w:eastAsia="zh-CN"/>
        </w:rPr>
        <w:t>3</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4"/>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14:paraId="478E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14:paraId="43C5456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Mar>
              <w:left w:w="103" w:type="dxa"/>
            </w:tcMar>
            <w:vAlign w:val="center"/>
          </w:tcPr>
          <w:p w14:paraId="205B514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Mar>
              <w:left w:w="103" w:type="dxa"/>
            </w:tcMar>
            <w:vAlign w:val="center"/>
          </w:tcPr>
          <w:p w14:paraId="7697487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Mar>
              <w:left w:w="103" w:type="dxa"/>
            </w:tcMar>
            <w:vAlign w:val="center"/>
          </w:tcPr>
          <w:p w14:paraId="2F1D0299">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Mar>
              <w:left w:w="103" w:type="dxa"/>
            </w:tcMar>
            <w:vAlign w:val="center"/>
          </w:tcPr>
          <w:p w14:paraId="7C3226C6">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1F55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980" w:hRule="atLeast"/>
        </w:trPr>
        <w:tc>
          <w:tcPr>
            <w:tcW w:w="710" w:type="dxa"/>
            <w:tcMar>
              <w:left w:w="103" w:type="dxa"/>
            </w:tcMar>
            <w:vAlign w:val="center"/>
          </w:tcPr>
          <w:p w14:paraId="6E079B98">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14:paraId="576ABCBF">
            <w:pPr>
              <w:pStyle w:val="8"/>
              <w:widowControl w:val="0"/>
              <w:kinsoku/>
              <w:autoSpaceDE/>
              <w:autoSpaceDN/>
              <w:spacing w:line="360" w:lineRule="auto"/>
              <w:jc w:val="center"/>
              <w:textAlignment w:val="auto"/>
              <w:rPr>
                <w:rFonts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14:paraId="576D77AF">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分</w:t>
            </w:r>
          </w:p>
        </w:tc>
        <w:tc>
          <w:tcPr>
            <w:tcW w:w="5296" w:type="dxa"/>
            <w:tcMar>
              <w:left w:w="103" w:type="dxa"/>
            </w:tcMar>
            <w:vAlign w:val="center"/>
          </w:tcPr>
          <w:p w14:paraId="296C021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4"/>
                <w:szCs w:val="24"/>
                <w:highlight w:val="none"/>
                <w:lang w:val="en-US" w:eastAsia="zh-CN"/>
              </w:rPr>
            </w:pPr>
          </w:p>
          <w:p w14:paraId="70819C69">
            <w:pPr>
              <w:keepNext w:val="0"/>
              <w:keepLines w:val="0"/>
              <w:pageBreakBefore w:val="0"/>
              <w:widowControl w:val="0"/>
              <w:kinsoku/>
              <w:wordWrap/>
              <w:overflowPunct/>
              <w:topLinePunct w:val="0"/>
              <w:autoSpaceDE/>
              <w:autoSpaceDN/>
              <w:bidi w:val="0"/>
              <w:spacing w:line="360" w:lineRule="auto"/>
              <w:jc w:val="center"/>
              <w:textAlignment w:val="auto"/>
              <w:rPr>
                <w:rFonts w:hint="default"/>
                <w:lang w:val="en-US" w:eastAsia="zh-CN"/>
              </w:rPr>
            </w:pPr>
            <w:r>
              <w:rPr>
                <w:rFonts w:hint="eastAsia" w:ascii="宋体" w:hAnsi="宋体" w:eastAsia="宋体" w:cs="宋体"/>
                <w:color w:val="auto"/>
                <w:kern w:val="0"/>
                <w:sz w:val="24"/>
                <w:szCs w:val="24"/>
                <w:highlight w:val="none"/>
                <w:lang w:val="en-US" w:eastAsia="zh-CN"/>
              </w:rPr>
              <w:t>基础分20分，一项不响应扣5分，优于配置的一项加2分，此项最高得分30分。</w:t>
            </w:r>
          </w:p>
          <w:p w14:paraId="7E9B8C34">
            <w:pPr>
              <w:widowControl w:val="0"/>
              <w:kinsoku/>
              <w:autoSpaceDE/>
              <w:autoSpaceDN/>
              <w:spacing w:line="360" w:lineRule="auto"/>
              <w:jc w:val="center"/>
              <w:textAlignment w:val="auto"/>
              <w:rPr>
                <w:rFonts w:ascii="宋体" w:hAnsi="宋体" w:eastAsia="宋体" w:cs="宋体"/>
                <w:color w:val="auto"/>
                <w:sz w:val="24"/>
                <w:szCs w:val="24"/>
              </w:rPr>
            </w:pPr>
          </w:p>
        </w:tc>
        <w:tc>
          <w:tcPr>
            <w:tcW w:w="1134" w:type="dxa"/>
            <w:tcMar>
              <w:left w:w="103" w:type="dxa"/>
            </w:tcMar>
            <w:vAlign w:val="center"/>
          </w:tcPr>
          <w:p w14:paraId="09FBE103">
            <w:pPr>
              <w:widowControl w:val="0"/>
              <w:kinsoku/>
              <w:autoSpaceDE/>
              <w:autoSpaceDN/>
              <w:spacing w:line="360" w:lineRule="auto"/>
              <w:jc w:val="center"/>
              <w:textAlignment w:val="auto"/>
              <w:rPr>
                <w:rFonts w:ascii="宋体" w:hAnsi="宋体" w:eastAsia="宋体" w:cs="宋体"/>
                <w:color w:val="auto"/>
                <w:sz w:val="24"/>
                <w:szCs w:val="24"/>
              </w:rPr>
            </w:pPr>
          </w:p>
        </w:tc>
      </w:tr>
    </w:tbl>
    <w:p w14:paraId="353CCE18">
      <w:pPr>
        <w:spacing w:line="360" w:lineRule="auto"/>
        <w:jc w:val="both"/>
        <w:rPr>
          <w:rFonts w:ascii="宋体" w:hAnsi="宋体" w:eastAsia="宋体" w:cs="宋体"/>
          <w:b/>
          <w:bCs/>
          <w:sz w:val="24"/>
          <w:highlight w:val="none"/>
        </w:rPr>
      </w:pPr>
    </w:p>
    <w:p w14:paraId="11AB85FF">
      <w:pPr>
        <w:spacing w:line="360" w:lineRule="auto"/>
        <w:ind w:firstLine="482" w:firstLineChars="200"/>
        <w:jc w:val="both"/>
        <w:rPr>
          <w:rFonts w:ascii="宋体" w:hAnsi="宋体" w:eastAsia="宋体" w:cs="宋体"/>
          <w:b/>
          <w:bCs/>
          <w:sz w:val="24"/>
          <w:highlight w:val="none"/>
        </w:rPr>
      </w:pPr>
      <w:r>
        <w:rPr>
          <w:rFonts w:hint="eastAsia" w:ascii="宋体" w:hAnsi="宋体" w:eastAsia="宋体" w:cs="宋体"/>
          <w:b/>
          <w:bCs/>
          <w:sz w:val="24"/>
          <w:highlight w:val="none"/>
        </w:rPr>
        <w:t>2、商务部分（分值</w:t>
      </w:r>
      <w:r>
        <w:rPr>
          <w:rFonts w:hint="eastAsia" w:ascii="宋体" w:hAnsi="宋体" w:eastAsia="宋体" w:cs="宋体"/>
          <w:b/>
          <w:bCs/>
          <w:sz w:val="24"/>
          <w:highlight w:val="none"/>
          <w:lang w:val="en-US" w:eastAsia="zh-CN"/>
        </w:rPr>
        <w:t>4</w:t>
      </w:r>
      <w:r>
        <w:rPr>
          <w:rFonts w:ascii="宋体" w:hAnsi="宋体" w:eastAsia="宋体" w:cs="宋体"/>
          <w:b/>
          <w:bCs/>
          <w:sz w:val="24"/>
          <w:highlight w:val="none"/>
        </w:rPr>
        <w:t>0</w:t>
      </w:r>
      <w:r>
        <w:rPr>
          <w:rFonts w:hint="eastAsia" w:ascii="宋体" w:hAnsi="宋体" w:eastAsia="宋体" w:cs="宋体"/>
          <w:b/>
          <w:bCs/>
          <w:sz w:val="24"/>
          <w:highlight w:val="none"/>
        </w:rPr>
        <w:t>分）</w:t>
      </w:r>
    </w:p>
    <w:tbl>
      <w:tblPr>
        <w:tblStyle w:val="14"/>
        <w:tblW w:w="9180" w:type="dxa"/>
        <w:tblInd w:w="13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10"/>
        <w:gridCol w:w="1180"/>
        <w:gridCol w:w="860"/>
        <w:gridCol w:w="5296"/>
        <w:gridCol w:w="1134"/>
      </w:tblGrid>
      <w:tr w14:paraId="33160A9D">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87" w:hRule="atLeast"/>
        </w:trPr>
        <w:tc>
          <w:tcPr>
            <w:tcW w:w="710" w:type="dxa"/>
            <w:tcBorders>
              <w:top w:val="single" w:color="000000" w:sz="4" w:space="0"/>
              <w:left w:val="single" w:color="000000" w:sz="4" w:space="0"/>
              <w:bottom w:val="single" w:color="000000" w:sz="4" w:space="0"/>
            </w:tcBorders>
            <w:tcMar>
              <w:left w:w="103" w:type="dxa"/>
            </w:tcMar>
            <w:vAlign w:val="center"/>
          </w:tcPr>
          <w:p w14:paraId="79661BC5">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80" w:type="dxa"/>
            <w:tcBorders>
              <w:top w:val="single" w:color="000000" w:sz="4" w:space="0"/>
              <w:left w:val="single" w:color="000000" w:sz="4" w:space="0"/>
              <w:bottom w:val="single" w:color="000000" w:sz="4" w:space="0"/>
            </w:tcBorders>
            <w:tcMar>
              <w:left w:w="103" w:type="dxa"/>
            </w:tcMar>
            <w:vAlign w:val="center"/>
          </w:tcPr>
          <w:p w14:paraId="3B7252FF">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860" w:type="dxa"/>
            <w:tcBorders>
              <w:top w:val="single" w:color="000000" w:sz="4" w:space="0"/>
              <w:left w:val="single" w:color="000000" w:sz="4" w:space="0"/>
              <w:bottom w:val="single" w:color="000000" w:sz="4" w:space="0"/>
            </w:tcBorders>
            <w:tcMar>
              <w:left w:w="103" w:type="dxa"/>
            </w:tcMar>
            <w:vAlign w:val="center"/>
          </w:tcPr>
          <w:p w14:paraId="70EB9967">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73FE8314">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C2D42D">
            <w:pPr>
              <w:spacing w:line="360" w:lineRule="auto"/>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实得分</w:t>
            </w:r>
          </w:p>
        </w:tc>
      </w:tr>
      <w:tr w14:paraId="77DAFBA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865" w:hRule="atLeast"/>
        </w:trPr>
        <w:tc>
          <w:tcPr>
            <w:tcW w:w="710" w:type="dxa"/>
            <w:vMerge w:val="restart"/>
            <w:tcBorders>
              <w:top w:val="single" w:color="000000" w:sz="4" w:space="0"/>
              <w:left w:val="single" w:color="000000" w:sz="4" w:space="0"/>
            </w:tcBorders>
            <w:tcMar>
              <w:left w:w="103" w:type="dxa"/>
            </w:tcMar>
            <w:vAlign w:val="center"/>
          </w:tcPr>
          <w:p w14:paraId="10EC0CCB">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0" w:type="dxa"/>
            <w:vMerge w:val="restart"/>
            <w:tcBorders>
              <w:top w:val="single" w:color="000000" w:sz="4" w:space="0"/>
              <w:left w:val="single" w:color="000000" w:sz="4" w:space="0"/>
            </w:tcBorders>
            <w:tcMar>
              <w:left w:w="103" w:type="dxa"/>
            </w:tcMar>
            <w:vAlign w:val="center"/>
          </w:tcPr>
          <w:p w14:paraId="72F40370">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p>
        </w:tc>
        <w:tc>
          <w:tcPr>
            <w:tcW w:w="860" w:type="dxa"/>
            <w:tcBorders>
              <w:top w:val="single" w:color="000000" w:sz="4" w:space="0"/>
              <w:left w:val="single" w:color="000000" w:sz="4" w:space="0"/>
              <w:bottom w:val="single" w:color="000000" w:sz="4" w:space="0"/>
            </w:tcBorders>
            <w:tcMar>
              <w:left w:w="103" w:type="dxa"/>
            </w:tcMar>
            <w:vAlign w:val="center"/>
          </w:tcPr>
          <w:p w14:paraId="7B010CF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E9A96F2">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注册资本≥</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00万元</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分，每高于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00万元加</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分，本小项最高得</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73ED2999">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53D0BB31">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605" w:hRule="atLeast"/>
        </w:trPr>
        <w:tc>
          <w:tcPr>
            <w:tcW w:w="710" w:type="dxa"/>
            <w:vMerge w:val="continue"/>
            <w:tcBorders>
              <w:left w:val="single" w:color="000000" w:sz="4" w:space="0"/>
              <w:bottom w:val="single" w:color="000000" w:sz="4" w:space="0"/>
            </w:tcBorders>
            <w:tcMar>
              <w:left w:w="103" w:type="dxa"/>
            </w:tcMar>
            <w:vAlign w:val="center"/>
          </w:tcPr>
          <w:p w14:paraId="2BAE4710">
            <w:pPr>
              <w:widowControl w:val="0"/>
              <w:kinsoku/>
              <w:autoSpaceDE/>
              <w:autoSpaceDN/>
              <w:spacing w:line="360" w:lineRule="auto"/>
              <w:jc w:val="center"/>
              <w:textAlignment w:val="auto"/>
              <w:rPr>
                <w:rFonts w:ascii="宋体" w:hAnsi="宋体" w:eastAsia="宋体" w:cs="宋体"/>
                <w:color w:val="auto"/>
                <w:sz w:val="24"/>
                <w:szCs w:val="24"/>
                <w:highlight w:val="none"/>
              </w:rPr>
            </w:pPr>
          </w:p>
        </w:tc>
        <w:tc>
          <w:tcPr>
            <w:tcW w:w="1180" w:type="dxa"/>
            <w:vMerge w:val="continue"/>
            <w:tcBorders>
              <w:left w:val="single" w:color="000000" w:sz="4" w:space="0"/>
            </w:tcBorders>
            <w:tcMar>
              <w:left w:w="103" w:type="dxa"/>
            </w:tcMar>
            <w:vAlign w:val="center"/>
          </w:tcPr>
          <w:p w14:paraId="01D82FF4">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p>
        </w:tc>
        <w:tc>
          <w:tcPr>
            <w:tcW w:w="860" w:type="dxa"/>
            <w:tcBorders>
              <w:top w:val="single" w:color="000000" w:sz="4" w:space="0"/>
              <w:left w:val="single" w:color="000000" w:sz="4" w:space="0"/>
              <w:bottom w:val="single" w:color="000000" w:sz="4" w:space="0"/>
            </w:tcBorders>
            <w:tcMar>
              <w:left w:w="103" w:type="dxa"/>
            </w:tcMar>
            <w:vAlign w:val="center"/>
          </w:tcPr>
          <w:p w14:paraId="3B3F3F31">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5395C75">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相关体系认证（质量、环境、职业健康安全、</w:t>
            </w:r>
            <w:r>
              <w:rPr>
                <w:rFonts w:hint="eastAsia" w:ascii="宋体" w:hAnsi="宋体" w:eastAsia="宋体" w:cs="宋体"/>
                <w:color w:val="auto"/>
                <w:sz w:val="24"/>
                <w:szCs w:val="24"/>
                <w:highlight w:val="none"/>
                <w:lang w:val="en-US" w:eastAsia="zh-CN"/>
              </w:rPr>
              <w:t>企业信用等级证明</w:t>
            </w:r>
            <w:r>
              <w:rPr>
                <w:rFonts w:hint="eastAsia" w:ascii="宋体" w:hAnsi="宋体" w:eastAsia="宋体" w:cs="宋体"/>
                <w:color w:val="auto"/>
                <w:sz w:val="24"/>
                <w:szCs w:val="24"/>
                <w:highlight w:val="none"/>
              </w:rPr>
              <w:t>每项</w:t>
            </w:r>
            <w:r>
              <w:rPr>
                <w:rFonts w:ascii="宋体" w:hAnsi="宋体" w:eastAsia="宋体" w:cs="宋体"/>
                <w:color w:val="auto"/>
                <w:sz w:val="24"/>
                <w:szCs w:val="24"/>
                <w:highlight w:val="none"/>
              </w:rPr>
              <w:t>0.5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EF5F871">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43FB1C36">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093" w:hRule="atLeast"/>
        </w:trPr>
        <w:tc>
          <w:tcPr>
            <w:tcW w:w="710" w:type="dxa"/>
            <w:tcBorders>
              <w:top w:val="single" w:color="000000" w:sz="4" w:space="0"/>
              <w:left w:val="single" w:color="000000" w:sz="4" w:space="0"/>
              <w:bottom w:val="single" w:color="000000" w:sz="4" w:space="0"/>
            </w:tcBorders>
            <w:tcMar>
              <w:left w:w="103" w:type="dxa"/>
            </w:tcMar>
            <w:vAlign w:val="center"/>
          </w:tcPr>
          <w:p w14:paraId="430B29FE">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0" w:type="dxa"/>
            <w:tcBorders>
              <w:left w:val="single" w:color="000000" w:sz="4" w:space="0"/>
            </w:tcBorders>
            <w:tcMar>
              <w:left w:w="103" w:type="dxa"/>
            </w:tcMar>
            <w:vAlign w:val="center"/>
          </w:tcPr>
          <w:p w14:paraId="437CA86B">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rPr>
              <w:t>类似</w:t>
            </w:r>
            <w:r>
              <w:rPr>
                <w:rFonts w:hint="eastAsia" w:ascii="宋体" w:hAnsi="宋体" w:eastAsia="宋体" w:cs="宋体"/>
                <w:color w:val="auto"/>
                <w:szCs w:val="24"/>
                <w:highlight w:val="none"/>
                <w:lang w:val="en-US"/>
              </w:rPr>
              <w:t>业务</w:t>
            </w:r>
            <w:r>
              <w:rPr>
                <w:rFonts w:hint="eastAsia" w:ascii="宋体" w:hAnsi="宋体" w:eastAsia="宋体" w:cs="宋体"/>
                <w:color w:val="auto"/>
                <w:szCs w:val="24"/>
                <w:highlight w:val="none"/>
              </w:rPr>
              <w:t>业绩</w:t>
            </w:r>
          </w:p>
        </w:tc>
        <w:tc>
          <w:tcPr>
            <w:tcW w:w="860" w:type="dxa"/>
            <w:tcBorders>
              <w:top w:val="single" w:color="000000" w:sz="4" w:space="0"/>
              <w:left w:val="single" w:color="000000" w:sz="4" w:space="0"/>
              <w:bottom w:val="single" w:color="000000" w:sz="4" w:space="0"/>
            </w:tcBorders>
            <w:tcMar>
              <w:left w:w="103" w:type="dxa"/>
            </w:tcMar>
            <w:vAlign w:val="center"/>
          </w:tcPr>
          <w:p w14:paraId="003B082C">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F6FF90">
            <w:pPr>
              <w:pStyle w:val="21"/>
              <w:widowControl w:val="0"/>
              <w:kinsoku/>
              <w:autoSpaceDE/>
              <w:autoSpaceDN/>
              <w:adjustRightInd/>
              <w:snapToGrid/>
              <w:spacing w:line="360" w:lineRule="auto"/>
              <w:ind w:left="0" w:leftChars="0" w:firstLine="0" w:firstLineChars="0"/>
              <w:jc w:val="both"/>
              <w:textAlignment w:val="auto"/>
              <w:rPr>
                <w:rFonts w:hint="eastAsia" w:ascii="宋体" w:hAnsi="宋体" w:eastAsia="宋体" w:cs="宋体"/>
                <w:color w:val="auto"/>
                <w:sz w:val="24"/>
                <w:szCs w:val="24"/>
                <w:highlight w:val="none"/>
              </w:rPr>
            </w:pPr>
            <w:r>
              <w:rPr>
                <w:rFonts w:hint="default" w:ascii="Calibri" w:hAnsi="Calibri" w:eastAsia="宋体" w:cs="Calibri"/>
                <w:color w:val="auto"/>
                <w:sz w:val="24"/>
                <w:szCs w:val="24"/>
                <w:highlight w:val="none"/>
                <w:lang w:val="en-US" w:eastAsia="zh-CN"/>
              </w:rPr>
              <w:t>①</w:t>
            </w:r>
            <w:r>
              <w:rPr>
                <w:rFonts w:hint="eastAsia" w:ascii="宋体" w:hAnsi="宋体" w:eastAsia="宋体" w:cs="宋体"/>
                <w:color w:val="auto"/>
                <w:sz w:val="24"/>
                <w:szCs w:val="24"/>
                <w:highlight w:val="none"/>
              </w:rPr>
              <w:t>投标人近三年来承接过合同金额</w:t>
            </w:r>
            <w:r>
              <w:rPr>
                <w:rFonts w:hint="eastAsia" w:ascii="宋体" w:hAnsi="宋体" w:eastAsia="宋体" w:cs="宋体"/>
                <w:color w:val="auto"/>
                <w:sz w:val="24"/>
                <w:szCs w:val="24"/>
                <w:highlight w:val="none"/>
                <w:lang w:val="en-US" w:eastAsia="zh-CN"/>
              </w:rPr>
              <w:t>300</w:t>
            </w:r>
            <w:r>
              <w:rPr>
                <w:rFonts w:hint="eastAsia" w:ascii="宋体" w:hAnsi="宋体" w:eastAsia="宋体" w:cs="宋体"/>
                <w:color w:val="auto"/>
                <w:sz w:val="24"/>
                <w:szCs w:val="24"/>
                <w:highlight w:val="none"/>
              </w:rPr>
              <w:t>万元及以上类似业绩且验收合格的，提供一项目业绩的得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分（未能提供验收证明的得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D1B05D9">
            <w:pPr>
              <w:pStyle w:val="21"/>
              <w:widowControl w:val="0"/>
              <w:kinsoku/>
              <w:autoSpaceDE/>
              <w:autoSpaceDN/>
              <w:adjustRightInd/>
              <w:snapToGrid/>
              <w:spacing w:line="360" w:lineRule="auto"/>
              <w:ind w:left="0" w:leftChars="0" w:firstLine="0" w:firstLineChars="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投标人应当提供合同、验收证明复印件（须加盖验收方公章）等证明材料。</w:t>
            </w:r>
            <w:r>
              <w:rPr>
                <w:rFonts w:hint="eastAsia" w:ascii="宋体" w:hAnsi="宋体" w:eastAsia="宋体" w:cs="宋体"/>
                <w:color w:val="auto"/>
                <w:kern w:val="0"/>
                <w:sz w:val="24"/>
                <w:szCs w:val="24"/>
                <w:highlight w:val="none"/>
                <w:lang w:val="en-US" w:eastAsia="zh-CN"/>
              </w:rPr>
              <w:t>此项最高得分20分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E870688">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671B58DA">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78FC59FF">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180" w:type="dxa"/>
            <w:tcBorders>
              <w:left w:val="single" w:color="000000" w:sz="4" w:space="0"/>
            </w:tcBorders>
            <w:tcMar>
              <w:left w:w="103" w:type="dxa"/>
            </w:tcMar>
            <w:vAlign w:val="center"/>
          </w:tcPr>
          <w:p w14:paraId="7EBFAB58">
            <w:pPr>
              <w:pStyle w:val="8"/>
              <w:widowControl w:val="0"/>
              <w:kinsoku/>
              <w:autoSpaceDE/>
              <w:autoSpaceDN/>
              <w:spacing w:line="360" w:lineRule="auto"/>
              <w:jc w:val="center"/>
              <w:textAlignment w:val="auto"/>
              <w:rPr>
                <w:rFonts w:ascii="宋体" w:hAnsi="宋体" w:eastAsia="宋体" w:cs="宋体"/>
                <w:color w:val="auto"/>
                <w:szCs w:val="24"/>
                <w:highlight w:val="none"/>
              </w:rPr>
            </w:pPr>
            <w:r>
              <w:rPr>
                <w:rFonts w:hint="eastAsia" w:ascii="宋体" w:hAnsi="宋体" w:eastAsia="宋体" w:cs="宋体"/>
                <w:color w:val="auto"/>
                <w:szCs w:val="24"/>
                <w:highlight w:val="none"/>
                <w:lang w:val="en-US"/>
              </w:rPr>
              <w:t>付款方式</w:t>
            </w:r>
          </w:p>
        </w:tc>
        <w:tc>
          <w:tcPr>
            <w:tcW w:w="860" w:type="dxa"/>
            <w:tcBorders>
              <w:top w:val="single" w:color="000000" w:sz="4" w:space="0"/>
              <w:left w:val="single" w:color="000000" w:sz="4" w:space="0"/>
              <w:bottom w:val="single" w:color="000000" w:sz="4" w:space="0"/>
            </w:tcBorders>
            <w:tcMar>
              <w:left w:w="103" w:type="dxa"/>
            </w:tcMar>
            <w:vAlign w:val="center"/>
          </w:tcPr>
          <w:p w14:paraId="58168B3A">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75C97E4B">
            <w:pPr>
              <w:kinsoku/>
              <w:autoSpaceDE/>
              <w:autoSpaceDN/>
              <w:adjustRightInd/>
              <w:snapToGrid/>
              <w:spacing w:line="360" w:lineRule="auto"/>
              <w:ind w:firstLine="480" w:firstLineChars="200"/>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不响应扣</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FD9AE31">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59417CE">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21B260B2">
            <w:pPr>
              <w:widowControl w:val="0"/>
              <w:kinsoku/>
              <w:autoSpaceDE/>
              <w:autoSpaceDN/>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180" w:type="dxa"/>
            <w:tcBorders>
              <w:left w:val="single" w:color="000000" w:sz="4" w:space="0"/>
            </w:tcBorders>
            <w:tcMar>
              <w:left w:w="103" w:type="dxa"/>
            </w:tcMar>
            <w:vAlign w:val="center"/>
          </w:tcPr>
          <w:p w14:paraId="00C8E520">
            <w:pPr>
              <w:pStyle w:val="8"/>
              <w:widowControl w:val="0"/>
              <w:kinsoku/>
              <w:autoSpaceDE/>
              <w:autoSpaceDN/>
              <w:spacing w:line="360" w:lineRule="auto"/>
              <w:jc w:val="center"/>
              <w:textAlignment w:val="auto"/>
              <w:rPr>
                <w:rFonts w:ascii="宋体" w:hAnsi="宋体" w:eastAsia="宋体" w:cs="宋体"/>
                <w:color w:val="auto"/>
                <w:szCs w:val="24"/>
                <w:highlight w:val="none"/>
                <w:lang w:val="en-US"/>
              </w:rPr>
            </w:pPr>
            <w:r>
              <w:rPr>
                <w:rFonts w:hint="eastAsia" w:ascii="宋体" w:hAnsi="宋体" w:eastAsia="宋体" w:cs="宋体"/>
                <w:color w:val="auto"/>
                <w:szCs w:val="24"/>
                <w:highlight w:val="none"/>
                <w:lang w:val="en-US"/>
              </w:rPr>
              <w:t>交货期</w:t>
            </w:r>
          </w:p>
        </w:tc>
        <w:tc>
          <w:tcPr>
            <w:tcW w:w="860" w:type="dxa"/>
            <w:tcBorders>
              <w:top w:val="single" w:color="000000" w:sz="4" w:space="0"/>
              <w:left w:val="single" w:color="000000" w:sz="4" w:space="0"/>
              <w:bottom w:val="single" w:color="000000" w:sz="4" w:space="0"/>
            </w:tcBorders>
            <w:tcMar>
              <w:left w:w="103" w:type="dxa"/>
            </w:tcMar>
            <w:vAlign w:val="center"/>
          </w:tcPr>
          <w:p w14:paraId="0533F0BD">
            <w:pPr>
              <w:widowControl w:val="0"/>
              <w:kinsoku/>
              <w:autoSpaceDE/>
              <w:autoSpaceDN/>
              <w:spacing w:line="360" w:lineRule="auto"/>
              <w:jc w:val="center"/>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0EBF014F">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邀标文件中规定的交货期为</w:t>
            </w:r>
            <w:r>
              <w:rPr>
                <w:rFonts w:hint="eastAsia" w:ascii="宋体" w:hAnsi="宋体" w:eastAsia="宋体" w:cs="宋体"/>
                <w:color w:val="auto"/>
                <w:sz w:val="24"/>
                <w:szCs w:val="24"/>
                <w:highlight w:val="none"/>
                <w:lang w:val="en-US" w:eastAsia="zh-CN"/>
              </w:rPr>
              <w:t>45天</w:t>
            </w:r>
            <w:r>
              <w:rPr>
                <w:rFonts w:hint="eastAsia" w:ascii="宋体" w:hAnsi="宋体" w:eastAsia="宋体" w:cs="宋体"/>
                <w:color w:val="auto"/>
                <w:sz w:val="24"/>
                <w:szCs w:val="24"/>
                <w:highlight w:val="none"/>
              </w:rPr>
              <w:t>，基础分为</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分，每提前</w:t>
            </w:r>
            <w:r>
              <w:rPr>
                <w:rFonts w:hint="eastAsia" w:ascii="宋体" w:hAnsi="宋体" w:eastAsia="宋体" w:cs="宋体"/>
                <w:color w:val="auto"/>
                <w:sz w:val="24"/>
                <w:szCs w:val="24"/>
                <w:highlight w:val="none"/>
                <w:lang w:val="en-US" w:eastAsia="zh-CN"/>
              </w:rPr>
              <w:t>2天</w:t>
            </w:r>
            <w:r>
              <w:rPr>
                <w:rFonts w:hint="eastAsia" w:ascii="宋体" w:hAnsi="宋体" w:eastAsia="宋体" w:cs="宋体"/>
                <w:color w:val="auto"/>
                <w:sz w:val="24"/>
                <w:szCs w:val="24"/>
                <w:highlight w:val="none"/>
              </w:rPr>
              <w:t>加1分，每超过</w:t>
            </w:r>
            <w:r>
              <w:rPr>
                <w:rFonts w:hint="eastAsia" w:ascii="宋体" w:hAnsi="宋体" w:eastAsia="宋体" w:cs="宋体"/>
                <w:color w:val="auto"/>
                <w:sz w:val="24"/>
                <w:szCs w:val="24"/>
                <w:highlight w:val="none"/>
                <w:lang w:val="en-US" w:eastAsia="zh-CN"/>
              </w:rPr>
              <w:t>2天</w:t>
            </w:r>
            <w:r>
              <w:rPr>
                <w:rFonts w:hint="eastAsia" w:ascii="宋体" w:hAnsi="宋体" w:eastAsia="宋体" w:cs="宋体"/>
                <w:color w:val="auto"/>
                <w:sz w:val="24"/>
                <w:szCs w:val="24"/>
                <w:highlight w:val="none"/>
              </w:rPr>
              <w:t>扣1分，上限为3分。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A05CD07">
            <w:pPr>
              <w:widowControl w:val="0"/>
              <w:kinsoku/>
              <w:autoSpaceDE/>
              <w:autoSpaceDN/>
              <w:spacing w:line="360" w:lineRule="auto"/>
              <w:jc w:val="center"/>
              <w:textAlignment w:val="auto"/>
              <w:rPr>
                <w:rFonts w:ascii="宋体" w:hAnsi="宋体" w:eastAsia="宋体" w:cs="宋体"/>
                <w:color w:val="auto"/>
                <w:sz w:val="24"/>
                <w:szCs w:val="24"/>
                <w:highlight w:val="none"/>
              </w:rPr>
            </w:pPr>
          </w:p>
        </w:tc>
      </w:tr>
      <w:tr w14:paraId="30283F6F">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90" w:hRule="atLeast"/>
        </w:trPr>
        <w:tc>
          <w:tcPr>
            <w:tcW w:w="710" w:type="dxa"/>
            <w:tcBorders>
              <w:top w:val="single" w:color="000000" w:sz="4" w:space="0"/>
              <w:left w:val="single" w:color="000000" w:sz="4" w:space="0"/>
              <w:bottom w:val="single" w:color="000000" w:sz="4" w:space="0"/>
            </w:tcBorders>
            <w:tcMar>
              <w:left w:w="103" w:type="dxa"/>
            </w:tcMar>
            <w:vAlign w:val="center"/>
          </w:tcPr>
          <w:p w14:paraId="2097C6B1">
            <w:pPr>
              <w:widowControl w:val="0"/>
              <w:kinsoku/>
              <w:autoSpaceDE/>
              <w:autoSpaceDN/>
              <w:spacing w:line="36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180" w:type="dxa"/>
            <w:tcBorders>
              <w:left w:val="single" w:color="000000" w:sz="4" w:space="0"/>
              <w:bottom w:val="single" w:color="000000" w:sz="4" w:space="0"/>
            </w:tcBorders>
            <w:tcMar>
              <w:left w:w="103" w:type="dxa"/>
            </w:tcMar>
            <w:vAlign w:val="center"/>
          </w:tcPr>
          <w:p w14:paraId="75296D14">
            <w:pPr>
              <w:pStyle w:val="8"/>
              <w:widowControl w:val="0"/>
              <w:kinsoku/>
              <w:autoSpaceDE/>
              <w:autoSpaceDN/>
              <w:spacing w:line="360" w:lineRule="auto"/>
              <w:jc w:val="center"/>
              <w:textAlignment w:val="auto"/>
              <w:rPr>
                <w:rFonts w:ascii="宋体" w:hAnsi="宋体" w:eastAsia="宋体" w:cs="宋体"/>
                <w:color w:val="auto"/>
                <w:szCs w:val="24"/>
                <w:lang w:val="en-US"/>
              </w:rPr>
            </w:pPr>
            <w:r>
              <w:rPr>
                <w:rFonts w:hint="eastAsia" w:ascii="宋体" w:hAnsi="宋体" w:eastAsia="宋体" w:cs="宋体"/>
                <w:color w:val="auto"/>
                <w:szCs w:val="24"/>
                <w:lang w:val="en-US"/>
              </w:rPr>
              <w:t>售后服务</w:t>
            </w:r>
          </w:p>
        </w:tc>
        <w:tc>
          <w:tcPr>
            <w:tcW w:w="860" w:type="dxa"/>
            <w:tcBorders>
              <w:top w:val="single" w:color="000000" w:sz="4" w:space="0"/>
              <w:left w:val="single" w:color="000000" w:sz="4" w:space="0"/>
              <w:bottom w:val="single" w:color="000000" w:sz="4" w:space="0"/>
            </w:tcBorders>
            <w:tcMar>
              <w:left w:w="103" w:type="dxa"/>
            </w:tcMar>
            <w:vAlign w:val="center"/>
          </w:tcPr>
          <w:p w14:paraId="10046228">
            <w:pPr>
              <w:widowControl w:val="0"/>
              <w:kinsoku/>
              <w:autoSpaceDE/>
              <w:autoSpaceDN/>
              <w:spacing w:line="360" w:lineRule="auto"/>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tc>
        <w:tc>
          <w:tcPr>
            <w:tcW w:w="529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67795CE">
            <w:pPr>
              <w:kinsoku/>
              <w:autoSpaceDE/>
              <w:autoSpaceDN/>
              <w:adjustRightInd/>
              <w:snapToGrid/>
              <w:spacing w:line="360" w:lineRule="auto"/>
              <w:textAlignment w:val="auto"/>
              <w:rPr>
                <w:rFonts w:ascii="宋体" w:hAnsi="宋体" w:eastAsia="宋体" w:cs="宋体"/>
                <w:color w:val="auto"/>
                <w:sz w:val="24"/>
                <w:szCs w:val="24"/>
              </w:rPr>
            </w:pPr>
            <w:r>
              <w:rPr>
                <w:rFonts w:hint="eastAsia" w:ascii="宋体" w:hAnsi="宋体" w:eastAsia="宋体" w:cs="宋体"/>
                <w:color w:val="auto"/>
                <w:sz w:val="24"/>
                <w:szCs w:val="24"/>
              </w:rPr>
              <w:t>1、投标人须对所售出的产品实行三包:即产品在正常使用情况下发生质量问题时，投标人应按使用方的要求，负责对产品实行包修、包换、包退。2、投标人在质保期内应负责硬件及软件产品的日常维护。（每项1分）</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1CDE9C8B">
            <w:pPr>
              <w:widowControl w:val="0"/>
              <w:kinsoku/>
              <w:autoSpaceDE/>
              <w:autoSpaceDN/>
              <w:spacing w:line="360" w:lineRule="auto"/>
              <w:jc w:val="center"/>
              <w:textAlignment w:val="auto"/>
              <w:rPr>
                <w:rFonts w:ascii="宋体" w:hAnsi="宋体" w:eastAsia="宋体" w:cs="宋体"/>
                <w:color w:val="auto"/>
                <w:sz w:val="24"/>
                <w:szCs w:val="24"/>
              </w:rPr>
            </w:pPr>
          </w:p>
        </w:tc>
      </w:tr>
    </w:tbl>
    <w:p w14:paraId="65C815AC">
      <w:pPr>
        <w:pStyle w:val="2"/>
        <w:spacing w:line="360" w:lineRule="auto"/>
      </w:pPr>
    </w:p>
    <w:p w14:paraId="51C92D32">
      <w:pPr>
        <w:spacing w:line="360" w:lineRule="auto"/>
        <w:ind w:firstLine="482" w:firstLineChars="200"/>
        <w:jc w:val="both"/>
        <w:rPr>
          <w:rFonts w:ascii="宋体" w:hAnsi="宋体" w:eastAsia="宋体" w:cs="宋体"/>
          <w:b/>
          <w:bCs/>
          <w:sz w:val="24"/>
        </w:rPr>
      </w:pPr>
      <w:r>
        <w:rPr>
          <w:rFonts w:hint="eastAsia" w:ascii="宋体" w:hAnsi="宋体" w:eastAsia="宋体" w:cs="宋体"/>
          <w:b/>
          <w:bCs/>
          <w:sz w:val="24"/>
        </w:rPr>
        <w:t>3、价格部分（分值</w:t>
      </w:r>
      <w:r>
        <w:rPr>
          <w:rFonts w:hint="eastAsia" w:ascii="宋体" w:hAnsi="宋体" w:eastAsia="宋体" w:cs="宋体"/>
          <w:b/>
          <w:bCs/>
          <w:sz w:val="24"/>
          <w:lang w:val="en-US" w:eastAsia="zh-CN"/>
        </w:rPr>
        <w:t>30</w:t>
      </w:r>
      <w:r>
        <w:rPr>
          <w:rFonts w:hint="eastAsia" w:ascii="宋体" w:hAnsi="宋体" w:eastAsia="宋体" w:cs="宋体"/>
          <w:b/>
          <w:bCs/>
          <w:sz w:val="24"/>
        </w:rPr>
        <w:t>分）</w:t>
      </w:r>
    </w:p>
    <w:tbl>
      <w:tblPr>
        <w:tblStyle w:val="14"/>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14:paraId="3C6F2AD8">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14:paraId="146FAD1E">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14:paraId="26511EE3">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14:paraId="22A684AB">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343A5255">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4A7F9743">
            <w:pPr>
              <w:spacing w:line="360" w:lineRule="auto"/>
              <w:jc w:val="center"/>
              <w:rPr>
                <w:rFonts w:ascii="宋体;SimSun" w:hAnsi="宋体;SimSun" w:cs="宋体;SimSun"/>
                <w:b/>
                <w:bCs/>
                <w:sz w:val="24"/>
                <w:szCs w:val="24"/>
              </w:rPr>
            </w:pPr>
            <w:r>
              <w:rPr>
                <w:rFonts w:hint="eastAsia" w:ascii="宋体" w:hAnsi="宋体" w:eastAsia="宋体" w:cs="宋体"/>
                <w:b/>
                <w:bCs/>
                <w:sz w:val="24"/>
                <w:szCs w:val="24"/>
              </w:rPr>
              <w:t>实得分</w:t>
            </w:r>
          </w:p>
        </w:tc>
      </w:tr>
      <w:tr w14:paraId="7C260A23">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14:paraId="6AEF4816">
            <w:pPr>
              <w:spacing w:line="360" w:lineRule="auto"/>
              <w:jc w:val="center"/>
              <w:rPr>
                <w:rFonts w:ascii="仿宋_GB2312" w:hAnsi="宋体" w:eastAsia="仿宋_GB2312"/>
                <w:sz w:val="24"/>
                <w:szCs w:val="24"/>
                <w:highlight w:val="none"/>
              </w:rPr>
            </w:pPr>
            <w:r>
              <w:rPr>
                <w:rFonts w:hint="eastAsia" w:ascii="仿宋_GB2312" w:hAnsi="宋体" w:eastAsia="仿宋_GB2312"/>
                <w:sz w:val="24"/>
                <w:szCs w:val="24"/>
                <w:highlight w:val="none"/>
              </w:rPr>
              <w:t>1</w:t>
            </w:r>
          </w:p>
        </w:tc>
        <w:tc>
          <w:tcPr>
            <w:tcW w:w="1160" w:type="dxa"/>
            <w:tcBorders>
              <w:top w:val="single" w:color="000000" w:sz="4" w:space="0"/>
              <w:left w:val="single" w:color="000000" w:sz="4" w:space="0"/>
              <w:bottom w:val="single" w:color="000000" w:sz="4" w:space="0"/>
            </w:tcBorders>
            <w:tcMar>
              <w:left w:w="103" w:type="dxa"/>
            </w:tcMar>
            <w:vAlign w:val="center"/>
          </w:tcPr>
          <w:p w14:paraId="6F8CCA9B">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rPr>
              <w:t>投标分</w:t>
            </w:r>
          </w:p>
        </w:tc>
        <w:tc>
          <w:tcPr>
            <w:tcW w:w="800" w:type="dxa"/>
            <w:tcBorders>
              <w:top w:val="single" w:color="000000" w:sz="4" w:space="0"/>
              <w:left w:val="single" w:color="000000" w:sz="4" w:space="0"/>
              <w:bottom w:val="single" w:color="000000" w:sz="4" w:space="0"/>
            </w:tcBorders>
            <w:tcMar>
              <w:left w:w="103" w:type="dxa"/>
            </w:tcMar>
            <w:vAlign w:val="center"/>
          </w:tcPr>
          <w:p w14:paraId="77DD195B">
            <w:pPr>
              <w:spacing w:line="360" w:lineRule="auto"/>
              <w:jc w:val="center"/>
              <w:rPr>
                <w:rFonts w:ascii="仿宋_GB2312" w:hAnsi="宋体" w:eastAsia="仿宋_GB2312"/>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14:paraId="6716A12D">
            <w:pPr>
              <w:spacing w:line="360" w:lineRule="auto"/>
              <w:ind w:firstLine="480" w:firstLineChars="200"/>
              <w:rPr>
                <w:rFonts w:hint="eastAsia" w:ascii="宋体" w:hAnsi="宋体"/>
                <w:sz w:val="24"/>
                <w:highlight w:val="none"/>
              </w:rPr>
            </w:pPr>
            <w:r>
              <w:rPr>
                <w:rFonts w:hint="eastAsia" w:ascii="宋体" w:hAnsi="宋体"/>
                <w:sz w:val="24"/>
                <w:highlight w:val="none"/>
              </w:rPr>
              <w:t>价格分应当采用低价优先法计算，即满足招标文件要求且最后报价最低的价格为评标基准价，其价格分为满分。其他供应商的价格分统一按照下列公式计算：</w:t>
            </w:r>
          </w:p>
          <w:p w14:paraId="6386DD5B">
            <w:pPr>
              <w:spacing w:line="360" w:lineRule="auto"/>
              <w:ind w:firstLine="480" w:firstLineChars="200"/>
              <w:rPr>
                <w:rFonts w:hint="eastAsia" w:ascii="宋体" w:hAnsi="宋体"/>
                <w:sz w:val="24"/>
                <w:highlight w:val="none"/>
              </w:rPr>
            </w:pPr>
            <w:r>
              <w:rPr>
                <w:rFonts w:hint="eastAsia" w:ascii="宋体" w:hAnsi="宋体"/>
                <w:sz w:val="24"/>
                <w:highlight w:val="none"/>
              </w:rPr>
              <w:t>报价得分=（评标基准价/最后报价）×100×</w:t>
            </w:r>
            <w:r>
              <w:rPr>
                <w:rFonts w:hint="eastAsia" w:ascii="宋体" w:hAnsi="宋体" w:eastAsia="宋体"/>
                <w:sz w:val="24"/>
                <w:highlight w:val="none"/>
                <w:lang w:val="en-US" w:eastAsia="zh-CN"/>
              </w:rPr>
              <w:t>3</w:t>
            </w:r>
            <w:r>
              <w:rPr>
                <w:rFonts w:hint="eastAsia" w:ascii="宋体" w:hAnsi="宋体"/>
                <w:sz w:val="24"/>
                <w:highlight w:val="none"/>
              </w:rPr>
              <w:t>0%，评审过程中，不得去掉最后报价中的最高报价和最低报价。（保留到小数点后两位，第三位四舍五入。）</w:t>
            </w:r>
          </w:p>
          <w:p w14:paraId="6422A3B0">
            <w:pPr>
              <w:spacing w:line="360" w:lineRule="auto"/>
              <w:ind w:firstLine="480" w:firstLineChars="200"/>
              <w:rPr>
                <w:rFonts w:ascii="宋体"/>
                <w:b/>
                <w:sz w:val="24"/>
                <w:highlight w:val="none"/>
              </w:rPr>
            </w:pPr>
            <w:r>
              <w:rPr>
                <w:rFonts w:hint="eastAsia" w:ascii="宋体" w:hAnsi="宋体"/>
                <w:sz w:val="24"/>
                <w:highlight w:val="none"/>
              </w:rPr>
              <w:t>如报价出现异常，评标委员会由权要求相应投标人作出说明，如说明理由不合理或不说明理由，评标委员会有权将该投标人投标视为废标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14:paraId="36B2D549">
            <w:pPr>
              <w:spacing w:line="360" w:lineRule="auto"/>
              <w:rPr>
                <w:rFonts w:ascii="仿宋_GB2312" w:hAnsi="宋体" w:eastAsia="仿宋_GB2312"/>
                <w:sz w:val="24"/>
                <w:szCs w:val="24"/>
                <w:highlight w:val="none"/>
              </w:rPr>
            </w:pPr>
          </w:p>
        </w:tc>
      </w:tr>
    </w:tbl>
    <w:p w14:paraId="5A4318C8">
      <w:pPr>
        <w:spacing w:line="360" w:lineRule="auto"/>
        <w:rPr>
          <w:sz w:val="28"/>
          <w:szCs w:val="36"/>
        </w:rPr>
      </w:pPr>
    </w:p>
    <w:p w14:paraId="3028AB8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.定标办法</w:t>
      </w:r>
    </w:p>
    <w:p w14:paraId="2C7B2D4E">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.1总得分</w:t>
      </w:r>
    </w:p>
    <w:p w14:paraId="0B029530">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.1各投标人得分 =（</w:t>
      </w:r>
      <w:r>
        <w:rPr>
          <w:rFonts w:hint="eastAsia" w:ascii="宋体" w:hAnsi="宋体" w:eastAsia="宋体" w:cs="宋体"/>
          <w:color w:val="auto"/>
          <w:sz w:val="24"/>
          <w:lang w:val="en-US" w:eastAsia="zh-CN"/>
        </w:rPr>
        <w:t>商务分+</w:t>
      </w:r>
      <w:r>
        <w:rPr>
          <w:rFonts w:hint="eastAsia" w:ascii="宋体" w:hAnsi="宋体"/>
          <w:color w:val="auto"/>
          <w:sz w:val="24"/>
          <w:lang w:val="en-US" w:eastAsia="zh-CN"/>
        </w:rPr>
        <w:t>技术</w:t>
      </w:r>
      <w:r>
        <w:rPr>
          <w:rFonts w:hint="eastAsia" w:ascii="宋体" w:hAnsi="宋体" w:eastAsia="宋体" w:cs="宋体"/>
          <w:color w:val="auto"/>
          <w:sz w:val="24"/>
        </w:rPr>
        <w:t>分+价格分）。</w:t>
      </w:r>
    </w:p>
    <w:p w14:paraId="1654AF81">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7</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14:paraId="22DAB715">
      <w:pPr>
        <w:spacing w:line="360" w:lineRule="auto"/>
        <w:ind w:firstLine="480" w:firstLineChars="200"/>
        <w:rPr>
          <w:rFonts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.评标小组评委依据得分高低顺序依次确定中标候选人，评分以得分最高者作为第一中标候选人。如果出现并列得分最高，则确定价格较低者排名在前；价格投标仍相同时则采用抽签方式现场确定中标候选人。</w:t>
      </w:r>
    </w:p>
    <w:p w14:paraId="6A6E57A7">
      <w:pPr>
        <w:spacing w:line="360" w:lineRule="auto"/>
        <w:ind w:firstLine="480" w:firstLineChars="200"/>
        <w:rPr>
          <w:rFonts w:hint="default" w:eastAsia="宋体"/>
          <w:lang w:val="en-US" w:eastAsia="zh-CN"/>
        </w:rPr>
        <w:sectPr>
          <w:headerReference r:id="rId6" w:type="default"/>
          <w:footerReference r:id="rId7" w:type="default"/>
          <w:pgSz w:w="11907" w:h="16839"/>
          <w:pgMar w:top="1432" w:right="1335" w:bottom="1201" w:left="1389" w:header="852" w:footer="1021" w:gutter="0"/>
          <w:cols w:space="720" w:num="1"/>
        </w:sectPr>
      </w:pPr>
      <w:r>
        <w:rPr>
          <w:rFonts w:hint="eastAsia" w:ascii="宋体" w:hAnsi="宋体" w:eastAsia="宋体" w:cs="宋体"/>
          <w:color w:val="auto"/>
          <w:sz w:val="24"/>
          <w:lang w:val="en-US" w:eastAsia="zh-CN"/>
        </w:rPr>
        <w:t>9</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p>
    <w:p w14:paraId="7418E9D6">
      <w:pPr>
        <w:pStyle w:val="2"/>
        <w:spacing w:line="360" w:lineRule="auto"/>
        <w:ind w:left="0" w:leftChars="0" w:firstLine="0" w:firstLineChars="0"/>
        <w:rPr>
          <w:rFonts w:ascii="宋体" w:hAnsi="宋体" w:eastAsia="宋体" w:cs="宋体"/>
          <w:sz w:val="24"/>
          <w:szCs w:val="24"/>
        </w:rPr>
      </w:pPr>
    </w:p>
    <w:p w14:paraId="424CEE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color w:val="auto"/>
          <w:sz w:val="32"/>
          <w:szCs w:val="22"/>
          <w:highlight w:val="none"/>
          <w:lang w:val="en-US" w:eastAsia="zh-CN"/>
        </w:rPr>
      </w:pPr>
      <w:r>
        <w:rPr>
          <w:rFonts w:hint="eastAsia"/>
          <w:b/>
          <w:color w:val="auto"/>
          <w:sz w:val="32"/>
          <w:szCs w:val="22"/>
          <w:highlight w:val="none"/>
          <w:lang w:val="en-US" w:eastAsia="zh-CN"/>
        </w:rPr>
        <w:t>设备采购合同</w:t>
      </w:r>
    </w:p>
    <w:p w14:paraId="7F8912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color w:val="auto"/>
          <w:sz w:val="21"/>
          <w:szCs w:val="21"/>
          <w:highlight w:val="none"/>
        </w:rPr>
      </w:pPr>
      <w:r>
        <w:rPr>
          <w:rFonts w:hint="eastAsia" w:ascii="宋体"/>
          <w:b/>
          <w:color w:val="auto"/>
          <w:sz w:val="21"/>
          <w:szCs w:val="21"/>
          <w:highlight w:val="none"/>
          <w:lang w:val="en-US" w:eastAsia="zh-CN"/>
        </w:rPr>
        <w:t>合同</w:t>
      </w:r>
      <w:r>
        <w:rPr>
          <w:rFonts w:hint="eastAsia" w:ascii="宋体"/>
          <w:b/>
          <w:color w:val="auto"/>
          <w:sz w:val="21"/>
          <w:szCs w:val="21"/>
          <w:highlight w:val="none"/>
        </w:rPr>
        <w:t>编号：</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合同履行地：</w:t>
      </w:r>
      <w:r>
        <w:rPr>
          <w:rFonts w:hint="eastAsia" w:ascii="宋体"/>
          <w:b/>
          <w:bCs/>
          <w:color w:val="auto"/>
          <w:sz w:val="21"/>
          <w:szCs w:val="21"/>
          <w:highlight w:val="none"/>
          <w:lang w:eastAsia="zh-CN"/>
        </w:rPr>
        <w:t>福建省三明市沙县</w:t>
      </w:r>
    </w:p>
    <w:p w14:paraId="78985F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采购方（甲方）</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 xml:space="preserve">中国机械总院集团                    </w:t>
      </w:r>
      <w:r>
        <w:rPr>
          <w:rFonts w:hint="eastAsia" w:ascii="宋体"/>
          <w:b/>
          <w:bCs/>
          <w:color w:val="auto"/>
          <w:sz w:val="21"/>
          <w:szCs w:val="21"/>
          <w:highlight w:val="none"/>
        </w:rPr>
        <w:t>签定地点：</w:t>
      </w:r>
      <w:r>
        <w:rPr>
          <w:rFonts w:hint="eastAsia" w:ascii="宋体"/>
          <w:b/>
          <w:bCs/>
          <w:color w:val="auto"/>
          <w:sz w:val="21"/>
          <w:szCs w:val="21"/>
          <w:highlight w:val="none"/>
          <w:lang w:eastAsia="zh-CN"/>
        </w:rPr>
        <w:t>福建省三明市沙县</w:t>
      </w:r>
      <w:r>
        <w:rPr>
          <w:rFonts w:ascii="宋体"/>
          <w:b/>
          <w:bCs/>
          <w:color w:val="auto"/>
          <w:sz w:val="21"/>
          <w:szCs w:val="21"/>
          <w:highlight w:val="none"/>
        </w:rPr>
        <w:t xml:space="preserve"> </w:t>
      </w:r>
    </w:p>
    <w:p w14:paraId="6DA158AB">
      <w:pPr>
        <w:keepNext w:val="0"/>
        <w:keepLines w:val="0"/>
        <w:pageBreakBefore w:val="0"/>
        <w:widowControl w:val="0"/>
        <w:kinsoku/>
        <w:wordWrap/>
        <w:overflowPunct/>
        <w:topLinePunct w:val="0"/>
        <w:autoSpaceDE/>
        <w:autoSpaceDN/>
        <w:bidi w:val="0"/>
        <w:adjustRightInd/>
        <w:snapToGrid/>
        <w:spacing w:line="360" w:lineRule="auto"/>
        <w:ind w:firstLine="840" w:firstLineChars="40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海西（福建）分院有限公司     </w:t>
      </w:r>
    </w:p>
    <w:p w14:paraId="67FC9CC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 xml:space="preserve">供货方（乙方）：         有限公司 </w:t>
      </w:r>
      <w:r>
        <w:rPr>
          <w:rFonts w:hint="eastAsia" w:ascii="宋体" w:hAnsi="宋体" w:cs="宋体"/>
          <w:color w:val="auto"/>
          <w:sz w:val="21"/>
          <w:szCs w:val="21"/>
          <w:highlight w:val="none"/>
          <w:lang w:val="en-US" w:eastAsia="zh-CN"/>
        </w:rPr>
        <w:t xml:space="preserve">                   </w:t>
      </w:r>
      <w:r>
        <w:rPr>
          <w:rFonts w:hint="eastAsia" w:ascii="宋体"/>
          <w:b/>
          <w:color w:val="auto"/>
          <w:sz w:val="21"/>
          <w:szCs w:val="21"/>
          <w:highlight w:val="none"/>
        </w:rPr>
        <w:t>签定日期：</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年</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月</w:t>
      </w:r>
      <w:r>
        <w:rPr>
          <w:rFonts w:hint="eastAsia" w:ascii="宋体"/>
          <w:b/>
          <w:color w:val="auto"/>
          <w:sz w:val="21"/>
          <w:szCs w:val="21"/>
          <w:highlight w:val="none"/>
          <w:lang w:val="en-US" w:eastAsia="zh-CN"/>
        </w:rPr>
        <w:t xml:space="preserve">     </w:t>
      </w:r>
      <w:r>
        <w:rPr>
          <w:rFonts w:hint="eastAsia" w:ascii="宋体"/>
          <w:b/>
          <w:color w:val="auto"/>
          <w:sz w:val="21"/>
          <w:szCs w:val="21"/>
          <w:highlight w:val="none"/>
        </w:rPr>
        <w:t>日</w:t>
      </w:r>
    </w:p>
    <w:p w14:paraId="52A8E351">
      <w:pPr>
        <w:keepNext w:val="0"/>
        <w:keepLines w:val="0"/>
        <w:pageBreakBefore w:val="0"/>
        <w:widowControl w:val="0"/>
        <w:kinsoku/>
        <w:wordWrap/>
        <w:overflowPunct/>
        <w:topLinePunct w:val="0"/>
        <w:autoSpaceDE/>
        <w:autoSpaceDN/>
        <w:bidi w:val="0"/>
        <w:adjustRightInd/>
        <w:snapToGrid/>
        <w:spacing w:line="360" w:lineRule="auto"/>
        <w:ind w:firstLine="4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cs="宋体"/>
          <w:color w:val="auto"/>
          <w:sz w:val="21"/>
          <w:szCs w:val="21"/>
          <w:highlight w:val="none"/>
          <w:lang w:val="en-US" w:eastAsia="zh-CN"/>
        </w:rPr>
        <w:t>民法典</w:t>
      </w:r>
      <w:r>
        <w:rPr>
          <w:rFonts w:hint="eastAsia" w:ascii="宋体" w:hAnsi="宋体" w:eastAsia="宋体" w:cs="宋体"/>
          <w:color w:val="auto"/>
          <w:sz w:val="21"/>
          <w:szCs w:val="21"/>
          <w:highlight w:val="none"/>
        </w:rPr>
        <w:t>和有关政策规定，根据</w:t>
      </w:r>
      <w:r>
        <w:rPr>
          <w:rFonts w:hint="eastAsia" w:ascii="宋体" w:hAnsi="宋体" w:cs="宋体"/>
          <w:color w:val="auto"/>
          <w:sz w:val="21"/>
          <w:szCs w:val="21"/>
          <w:highlight w:val="none"/>
          <w:lang w:val="en-US" w:eastAsia="zh-CN"/>
        </w:rPr>
        <w:t>双方需求</w:t>
      </w:r>
      <w:r>
        <w:rPr>
          <w:rFonts w:hint="eastAsia" w:ascii="宋体" w:hAnsi="宋体" w:eastAsia="宋体" w:cs="宋体"/>
          <w:color w:val="auto"/>
          <w:sz w:val="21"/>
          <w:szCs w:val="21"/>
          <w:highlight w:val="none"/>
        </w:rPr>
        <w:t>，经双方协商一致签订本合同。</w:t>
      </w:r>
    </w:p>
    <w:p w14:paraId="01B94823">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产品</w:t>
      </w:r>
      <w:r>
        <w:rPr>
          <w:rFonts w:hint="eastAsia" w:ascii="宋体" w:hAnsi="宋体" w:eastAsia="宋体" w:cs="宋体"/>
          <w:b/>
          <w:bCs/>
          <w:color w:val="auto"/>
          <w:sz w:val="21"/>
          <w:szCs w:val="21"/>
          <w:highlight w:val="none"/>
        </w:rPr>
        <w:t>名称、规格、数量、价格</w:t>
      </w:r>
    </w:p>
    <w:tbl>
      <w:tblPr>
        <w:tblStyle w:val="14"/>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693"/>
        <w:gridCol w:w="850"/>
        <w:gridCol w:w="1418"/>
        <w:gridCol w:w="1417"/>
      </w:tblGrid>
      <w:tr w14:paraId="440CD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09" w:type="dxa"/>
            <w:vAlign w:val="center"/>
          </w:tcPr>
          <w:p w14:paraId="1D78338D">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序号</w:t>
            </w:r>
          </w:p>
        </w:tc>
        <w:tc>
          <w:tcPr>
            <w:tcW w:w="1985" w:type="dxa"/>
            <w:vAlign w:val="center"/>
          </w:tcPr>
          <w:p w14:paraId="5666BF9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产品品名</w:t>
            </w:r>
          </w:p>
        </w:tc>
        <w:tc>
          <w:tcPr>
            <w:tcW w:w="2693" w:type="dxa"/>
            <w:vAlign w:val="center"/>
          </w:tcPr>
          <w:p w14:paraId="4EF50737">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产品</w:t>
            </w:r>
            <w:r>
              <w:rPr>
                <w:rFonts w:cs="Times New Roman" w:asciiTheme="minorEastAsia" w:hAnsiTheme="minorEastAsia" w:eastAsiaTheme="minorEastAsia"/>
                <w:color w:val="auto"/>
                <w:sz w:val="23"/>
                <w:szCs w:val="23"/>
                <w:highlight w:val="none"/>
                <w:lang w:eastAsia="zh-CN"/>
              </w:rPr>
              <w:t>规格型号</w:t>
            </w:r>
          </w:p>
          <w:p w14:paraId="60C1ED8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（基本配置及主要性能）</w:t>
            </w:r>
          </w:p>
        </w:tc>
        <w:tc>
          <w:tcPr>
            <w:tcW w:w="850" w:type="dxa"/>
            <w:vAlign w:val="center"/>
          </w:tcPr>
          <w:p w14:paraId="418F4644">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cs="Times New Roman" w:asciiTheme="minorEastAsia" w:hAnsiTheme="minorEastAsia" w:eastAsiaTheme="minorEastAsia"/>
                <w:color w:val="auto"/>
                <w:sz w:val="23"/>
                <w:szCs w:val="23"/>
                <w:highlight w:val="none"/>
                <w:lang w:eastAsia="zh-CN"/>
              </w:rPr>
              <w:t>数量</w:t>
            </w:r>
          </w:p>
        </w:tc>
        <w:tc>
          <w:tcPr>
            <w:tcW w:w="1418" w:type="dxa"/>
            <w:vAlign w:val="center"/>
          </w:tcPr>
          <w:p w14:paraId="77F4811A">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含税单价</w:t>
            </w:r>
          </w:p>
        </w:tc>
        <w:tc>
          <w:tcPr>
            <w:tcW w:w="1417" w:type="dxa"/>
            <w:vAlign w:val="center"/>
          </w:tcPr>
          <w:p w14:paraId="4FB4871C">
            <w:pPr>
              <w:widowControl w:val="0"/>
              <w:adjustRightInd w:val="0"/>
              <w:spacing w:before="120" w:after="0" w:line="360" w:lineRule="exact"/>
              <w:jc w:val="center"/>
              <w:textAlignment w:val="baseline"/>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价税合计</w:t>
            </w:r>
          </w:p>
        </w:tc>
      </w:tr>
      <w:tr w14:paraId="7DD2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9" w:type="dxa"/>
            <w:vAlign w:val="center"/>
          </w:tcPr>
          <w:p w14:paraId="2B19B93F">
            <w:pPr>
              <w:spacing w:before="120" w:after="0" w:line="360" w:lineRule="exact"/>
              <w:jc w:val="center"/>
              <w:rPr>
                <w:rFonts w:cs="Times New Roman" w:asciiTheme="minorEastAsia" w:hAnsiTheme="minorEastAsia" w:eastAsiaTheme="minorEastAsia"/>
                <w:color w:val="auto"/>
                <w:sz w:val="23"/>
                <w:szCs w:val="23"/>
                <w:highlight w:val="none"/>
                <w:lang w:eastAsia="zh-CN"/>
              </w:rPr>
            </w:pPr>
          </w:p>
        </w:tc>
        <w:tc>
          <w:tcPr>
            <w:tcW w:w="1985" w:type="dxa"/>
            <w:vAlign w:val="center"/>
          </w:tcPr>
          <w:p w14:paraId="418B0D84">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2693" w:type="dxa"/>
            <w:vAlign w:val="center"/>
          </w:tcPr>
          <w:p w14:paraId="2259E5C4">
            <w:pPr>
              <w:keepNext/>
              <w:keepLines/>
              <w:widowControl w:val="0"/>
              <w:adjustRightInd w:val="0"/>
              <w:spacing w:before="120" w:after="0" w:line="360" w:lineRule="exact"/>
              <w:textAlignment w:val="baseline"/>
              <w:outlineLvl w:val="0"/>
              <w:rPr>
                <w:rFonts w:cs="Times New Roman" w:asciiTheme="minorEastAsia" w:hAnsiTheme="minorEastAsia" w:eastAsiaTheme="minorEastAsia"/>
                <w:color w:val="auto"/>
                <w:sz w:val="23"/>
                <w:szCs w:val="23"/>
                <w:highlight w:val="none"/>
                <w:lang w:eastAsia="zh-CN"/>
              </w:rPr>
            </w:pPr>
          </w:p>
        </w:tc>
        <w:tc>
          <w:tcPr>
            <w:tcW w:w="850" w:type="dxa"/>
            <w:vAlign w:val="center"/>
          </w:tcPr>
          <w:p w14:paraId="68E6BC4F">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8" w:type="dxa"/>
            <w:vAlign w:val="center"/>
          </w:tcPr>
          <w:p w14:paraId="582E6DA8">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c>
          <w:tcPr>
            <w:tcW w:w="1417" w:type="dxa"/>
            <w:vAlign w:val="center"/>
          </w:tcPr>
          <w:p w14:paraId="68BA11AE">
            <w:pPr>
              <w:keepNext/>
              <w:keepLines/>
              <w:widowControl w:val="0"/>
              <w:adjustRightInd w:val="0"/>
              <w:spacing w:before="120" w:after="0" w:line="360" w:lineRule="exact"/>
              <w:jc w:val="both"/>
              <w:textAlignment w:val="baseline"/>
              <w:outlineLvl w:val="0"/>
              <w:rPr>
                <w:rFonts w:cs="Times New Roman" w:asciiTheme="minorEastAsia" w:hAnsiTheme="minorEastAsia" w:eastAsiaTheme="minorEastAsia"/>
                <w:color w:val="auto"/>
                <w:sz w:val="23"/>
                <w:szCs w:val="23"/>
                <w:highlight w:val="none"/>
                <w:lang w:eastAsia="zh-CN"/>
              </w:rPr>
            </w:pPr>
          </w:p>
        </w:tc>
      </w:tr>
      <w:tr w14:paraId="654F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3F515305">
            <w:pPr>
              <w:spacing w:before="120" w:after="0" w:line="360" w:lineRule="exact"/>
              <w:rPr>
                <w:rFonts w:hint="default" w:cs="宋体" w:asciiTheme="minorEastAsia" w:hAnsiTheme="minorEastAsia" w:eastAsiaTheme="minorEastAsia"/>
                <w:color w:val="auto"/>
                <w:sz w:val="23"/>
                <w:szCs w:val="23"/>
                <w:highlight w:val="none"/>
                <w:lang w:val="en-US" w:eastAsia="zh-CN"/>
              </w:rPr>
            </w:pPr>
            <w:r>
              <w:rPr>
                <w:rFonts w:hint="eastAsia" w:cs="Times New Roman" w:asciiTheme="minorEastAsia" w:hAnsiTheme="minorEastAsia" w:eastAsiaTheme="minorEastAsia"/>
                <w:color w:val="auto"/>
                <w:sz w:val="23"/>
                <w:szCs w:val="23"/>
                <w:highlight w:val="none"/>
                <w:lang w:eastAsia="zh-CN"/>
              </w:rPr>
              <w:t>合计（未税金额）：</w:t>
            </w:r>
            <w:r>
              <w:rPr>
                <w:rFonts w:hint="eastAsia" w:cs="Times New Roman" w:asciiTheme="minorEastAsia" w:hAnsiTheme="minorEastAsia" w:eastAsiaTheme="minorEastAsia"/>
                <w:color w:val="auto"/>
                <w:sz w:val="23"/>
                <w:szCs w:val="23"/>
                <w:highlight w:val="none"/>
                <w:lang w:val="en-US" w:eastAsia="zh-CN"/>
              </w:rPr>
              <w:t xml:space="preserve">   元</w:t>
            </w:r>
          </w:p>
        </w:tc>
      </w:tr>
      <w:tr w14:paraId="170D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072" w:type="dxa"/>
            <w:gridSpan w:val="6"/>
            <w:vAlign w:val="center"/>
          </w:tcPr>
          <w:p w14:paraId="35CA0073">
            <w:pPr>
              <w:spacing w:before="120" w:after="0" w:line="360" w:lineRule="exact"/>
              <w:rPr>
                <w:rFonts w:cs="Times New Roman" w:asciiTheme="minorEastAsia" w:hAnsiTheme="minorEastAsia" w:eastAsiaTheme="minorEastAsia"/>
                <w:color w:val="auto"/>
                <w:sz w:val="23"/>
                <w:szCs w:val="23"/>
                <w:highlight w:val="none"/>
                <w:lang w:eastAsia="zh-CN"/>
              </w:rPr>
            </w:pPr>
            <w:r>
              <w:rPr>
                <w:rFonts w:hint="eastAsia" w:cs="Times New Roman" w:asciiTheme="minorEastAsia" w:hAnsiTheme="minorEastAsia" w:eastAsiaTheme="minorEastAsia"/>
                <w:color w:val="auto"/>
                <w:sz w:val="23"/>
                <w:szCs w:val="23"/>
                <w:highlight w:val="none"/>
                <w:lang w:eastAsia="zh-CN"/>
              </w:rPr>
              <w:t>合计（含税金额）：</w:t>
            </w:r>
            <w:r>
              <w:rPr>
                <w:rFonts w:hint="eastAsia" w:cs="Times New Roman" w:asciiTheme="minorEastAsia" w:hAnsiTheme="minorEastAsia" w:eastAsiaTheme="minorEastAsia"/>
                <w:color w:val="auto"/>
                <w:sz w:val="23"/>
                <w:szCs w:val="23"/>
                <w:highlight w:val="none"/>
                <w:lang w:val="en-US" w:eastAsia="zh-CN"/>
              </w:rPr>
              <w:t xml:space="preserve">   </w:t>
            </w:r>
            <w:r>
              <w:rPr>
                <w:rFonts w:hint="eastAsia"/>
                <w:color w:val="auto"/>
                <w:highlight w:val="none"/>
                <w:lang w:eastAsia="zh-CN"/>
              </w:rPr>
              <w:t>元</w:t>
            </w:r>
            <w:r>
              <w:rPr>
                <w:rFonts w:hint="eastAsia"/>
                <w:color w:val="auto"/>
                <w:highlight w:val="none"/>
              </w:rPr>
              <w:t xml:space="preserve"> </w:t>
            </w:r>
            <w:r>
              <w:rPr>
                <w:color w:val="auto"/>
                <w:highlight w:val="none"/>
              </w:rPr>
              <w:t xml:space="preserve">  </w:t>
            </w:r>
            <w:r>
              <w:rPr>
                <w:rFonts w:hint="eastAsia"/>
                <w:color w:val="auto"/>
                <w:highlight w:val="none"/>
                <w:lang w:val="en-US" w:eastAsia="zh-CN"/>
              </w:rPr>
              <w:t xml:space="preserve">     ，大写：       </w:t>
            </w:r>
            <w:r>
              <w:rPr>
                <w:rFonts w:hint="eastAsia"/>
                <w:color w:val="auto"/>
                <w:highlight w:val="none"/>
                <w:lang w:eastAsia="zh-CN"/>
              </w:rPr>
              <w:t>元整</w:t>
            </w:r>
          </w:p>
        </w:tc>
      </w:tr>
    </w:tbl>
    <w:p w14:paraId="3BB502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注：币种为人民币 ，若双方无其他明确约定，上述价格含13%增值税。本合同以未税金额为准，如开票时税率发生变更，含税金额应做相应调整。</w:t>
      </w:r>
    </w:p>
    <w:p w14:paraId="188E5084">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宋体" w:hAnsi="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质量要求技术标准</w:t>
      </w:r>
      <w:r>
        <w:rPr>
          <w:rFonts w:hint="eastAsia" w:ascii="宋体" w:hAnsi="宋体" w:cs="宋体"/>
          <w:b/>
          <w:bCs/>
          <w:color w:val="auto"/>
          <w:sz w:val="21"/>
          <w:szCs w:val="21"/>
          <w:highlight w:val="none"/>
          <w:lang w:val="en-US" w:eastAsia="zh-CN"/>
        </w:rPr>
        <w:t>及质保期：</w:t>
      </w:r>
    </w:p>
    <w:p w14:paraId="413BB5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1、按国家标准验收，乙方随货附生产方产品检测报告。</w:t>
      </w:r>
    </w:p>
    <w:p w14:paraId="6D271D5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2、</w:t>
      </w:r>
      <w:r>
        <w:rPr>
          <w:rFonts w:hint="eastAsia" w:ascii="宋体" w:hAnsi="宋体" w:cs="宋体"/>
          <w:color w:val="auto"/>
          <w:sz w:val="21"/>
          <w:szCs w:val="21"/>
          <w:highlight w:val="none"/>
          <w:lang w:val="en-US" w:eastAsia="zh-CN"/>
        </w:rPr>
        <w:t>产品质保期为最终验收之日起12个月。</w:t>
      </w:r>
    </w:p>
    <w:p w14:paraId="35B86DA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cs="宋体"/>
          <w:color w:val="auto"/>
          <w:sz w:val="21"/>
          <w:szCs w:val="21"/>
          <w:highlight w:val="none"/>
          <w:lang w:val="en-US" w:eastAsia="zh-CN"/>
        </w:rPr>
      </w:pPr>
      <w:r>
        <w:rPr>
          <w:rFonts w:hint="eastAsia" w:asciiTheme="minorEastAsia" w:hAnsiTheme="minorEastAsia" w:eastAsiaTheme="minorEastAsia"/>
          <w:color w:val="auto"/>
          <w:sz w:val="23"/>
          <w:szCs w:val="23"/>
          <w:highlight w:val="none"/>
          <w:lang w:val="en-US" w:eastAsia="zh-CN"/>
        </w:rPr>
        <w:t>3、</w:t>
      </w:r>
      <w:r>
        <w:rPr>
          <w:rFonts w:hint="eastAsia" w:ascii="宋体" w:hAnsi="宋体" w:cs="宋体"/>
          <w:color w:val="auto"/>
          <w:sz w:val="21"/>
          <w:szCs w:val="21"/>
          <w:highlight w:val="none"/>
          <w:lang w:val="en-US" w:eastAsia="zh-CN"/>
        </w:rPr>
        <w:t>乙方作出书面质保承诺的，乙方应严格履行。</w:t>
      </w:r>
    </w:p>
    <w:p w14:paraId="42856B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4、双方确定的其他要求：</w:t>
      </w:r>
    </w:p>
    <w:p w14:paraId="481AE3E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5280" w:hanging="5042" w:hangingChars="2400"/>
        <w:jc w:val="both"/>
        <w:textAlignment w:val="auto"/>
        <w:rPr>
          <w:rFonts w:hint="eastAsia" w:ascii="宋体" w:hAnsi="宋体" w:cs="宋体"/>
          <w:color w:val="auto"/>
          <w:sz w:val="21"/>
          <w:szCs w:val="21"/>
          <w:highlight w:val="none"/>
          <w:lang w:eastAsia="zh-CN"/>
        </w:rPr>
      </w:pPr>
      <w:r>
        <w:rPr>
          <w:rFonts w:hint="eastAsia" w:ascii="宋体" w:hAnsi="宋体" w:cs="宋体"/>
          <w:b/>
          <w:bCs/>
          <w:color w:val="auto"/>
          <w:sz w:val="21"/>
          <w:szCs w:val="21"/>
          <w:highlight w:val="none"/>
          <w:lang w:val="en-US" w:eastAsia="zh-CN"/>
        </w:rPr>
        <w:t>交货时间及交提货地点、方式：</w:t>
      </w:r>
    </w:p>
    <w:p w14:paraId="4AEA18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1、乙方自合同生效后     天内向甲方交付货物，乙方在交货前有提前告知义务，应提前24小时通知甲方，若未提前通知造成甲方无法签收，由此产生的损失由乙方承担。（对于分期交付货物的情况，合同中需明确约定交货的次数，每次交货的时间及数量）     </w:t>
      </w:r>
    </w:p>
    <w:p w14:paraId="28AE0E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2、乙方负责送货至甲方指定地点：       ，     方自行卸货。</w:t>
      </w:r>
    </w:p>
    <w:p w14:paraId="0D5C6A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3、甲方指定接货联系人：          ，电话：           。     </w:t>
      </w:r>
    </w:p>
    <w:p w14:paraId="065E01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both"/>
        <w:textAlignment w:val="auto"/>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四、产品验收：</w:t>
      </w:r>
    </w:p>
    <w:p w14:paraId="4E02B7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1、甲方于产品到达指定交货地点之日起     （小时/天）内进行验收完毕，由甲方指派（姓名、联系电话）              ，乙方指派（姓名、联系电话）                在场共同签署正式验收报告结果为“合格”时，方视为产品通过的正式验收。（此处合格指的是规格和数量及破损，不包括产品功能是否合格）</w:t>
      </w:r>
    </w:p>
    <w:p w14:paraId="096850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2、如产品存在重大不符合约定的，经乙方两次整改后仍不满足要求的，甲方有权拒绝接收产品或退回产品或解除合同，并由乙方承担因此给甲方造成的损失。</w:t>
      </w:r>
    </w:p>
    <w:p w14:paraId="5A338F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3、甲方对产品的验收合格并不免除乙方的产品质量保证期限内的相责任。</w:t>
      </w:r>
    </w:p>
    <w:p w14:paraId="388204EB">
      <w:pPr>
        <w:keepNext w:val="0"/>
        <w:keepLines w:val="0"/>
        <w:pageBreakBefore w:val="0"/>
        <w:widowControl w:val="0"/>
        <w:kinsoku/>
        <w:wordWrap/>
        <w:overflowPunct/>
        <w:topLinePunct w:val="0"/>
        <w:autoSpaceDE/>
        <w:autoSpaceDN/>
        <w:bidi w:val="0"/>
        <w:adjustRightInd/>
        <w:snapToGrid/>
        <w:spacing w:line="360" w:lineRule="auto"/>
        <w:ind w:left="5280" w:hanging="5042" w:hangingChars="2400"/>
        <w:jc w:val="left"/>
        <w:textAlignment w:val="auto"/>
        <w:rPr>
          <w:rFonts w:hint="eastAsia" w:ascii="宋体"/>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运输方式和费用承担：</w:t>
      </w:r>
      <w:r>
        <w:rPr>
          <w:rFonts w:hint="eastAsia" w:ascii="宋体" w:hAnsi="宋体" w:cs="宋体"/>
          <w:color w:val="auto"/>
          <w:sz w:val="21"/>
          <w:szCs w:val="21"/>
          <w:highlight w:val="none"/>
          <w:lang w:val="en-US" w:eastAsia="zh-CN"/>
        </w:rPr>
        <w:t xml:space="preserve">       ，    方承担运费。</w:t>
      </w:r>
    </w:p>
    <w:p w14:paraId="3EAC81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w:t>
      </w:r>
      <w:r>
        <w:rPr>
          <w:rFonts w:hint="default" w:ascii="宋体" w:hAnsi="宋体" w:eastAsia="宋体" w:cs="宋体"/>
          <w:b/>
          <w:bCs/>
          <w:color w:val="auto"/>
          <w:sz w:val="21"/>
          <w:szCs w:val="21"/>
          <w:highlight w:val="none"/>
          <w:lang w:val="en-US" w:eastAsia="zh-CN"/>
        </w:rPr>
        <w:t>价款支付</w:t>
      </w:r>
      <w:r>
        <w:rPr>
          <w:rFonts w:hint="eastAsia" w:ascii="宋体" w:hAnsi="宋体" w:eastAsia="宋体" w:cs="宋体"/>
          <w:b/>
          <w:bCs/>
          <w:color w:val="auto"/>
          <w:sz w:val="21"/>
          <w:szCs w:val="21"/>
          <w:highlight w:val="none"/>
        </w:rPr>
        <w:t>：</w:t>
      </w:r>
    </w:p>
    <w:p w14:paraId="2C2C74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结算方式：</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 xml:space="preserve">银行转账   </w:t>
      </w:r>
      <w:r>
        <w:rPr>
          <w:rFonts w:hint="default" w:ascii="宋体"/>
          <w:color w:val="auto"/>
          <w:sz w:val="21"/>
          <w:szCs w:val="21"/>
          <w:highlight w:val="none"/>
          <w:lang w:val="en-US" w:eastAsia="zh-CN"/>
        </w:rPr>
        <w:t>□</w:t>
      </w:r>
      <w:r>
        <w:rPr>
          <w:rFonts w:hint="eastAsia" w:ascii="宋体"/>
          <w:color w:val="auto"/>
          <w:sz w:val="21"/>
          <w:szCs w:val="21"/>
          <w:highlight w:val="none"/>
          <w:lang w:val="en-US" w:eastAsia="zh-CN"/>
        </w:rPr>
        <w:t>银行电子承兑</w:t>
      </w:r>
    </w:p>
    <w:p w14:paraId="3C70F8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甲乙</w:t>
      </w:r>
      <w:r>
        <w:rPr>
          <w:rFonts w:hint="default" w:ascii="宋体"/>
          <w:color w:val="auto"/>
          <w:sz w:val="21"/>
          <w:szCs w:val="21"/>
          <w:highlight w:val="none"/>
          <w:lang w:val="en-US" w:eastAsia="zh-CN"/>
        </w:rPr>
        <w:t>双方同意按以下方式支付合同价款：</w:t>
      </w:r>
    </w:p>
    <w:p w14:paraId="7D5DCB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一次性付款</w:t>
      </w:r>
    </w:p>
    <w:p w14:paraId="418BD24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合同产品验收合格且</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开具合格全额增值税发票后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天内付款。</w:t>
      </w:r>
    </w:p>
    <w:p w14:paraId="45F1495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 分期支付</w:t>
      </w:r>
    </w:p>
    <w:p w14:paraId="3812BA4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本合同生效后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向</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）作为预付款；</w:t>
      </w:r>
    </w:p>
    <w:p w14:paraId="4FF94219">
      <w:pPr>
        <w:pStyle w:val="2"/>
        <w:rPr>
          <w:rFonts w:hint="default"/>
          <w:lang w:val="en-US" w:eastAsia="zh-CN"/>
        </w:rPr>
      </w:pPr>
      <w:r>
        <w:rPr>
          <w:rFonts w:hint="default" w:ascii="宋体"/>
          <w:color w:val="auto"/>
          <w:sz w:val="21"/>
          <w:szCs w:val="21"/>
          <w:highlight w:val="none"/>
          <w:lang w:val="en-US" w:eastAsia="zh-CN"/>
        </w:rPr>
        <w:t>2、预验收合格发货前，由甲方支付合同总价款的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元（大写人民币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）作为提货款</w:t>
      </w:r>
      <w:r>
        <w:rPr>
          <w:rFonts w:hint="default"/>
          <w:lang w:val="en-US" w:eastAsia="zh-CN"/>
        </w:rPr>
        <w:t>；</w:t>
      </w:r>
    </w:p>
    <w:p w14:paraId="389CB11C">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产品经</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验收入库且收到</w:t>
      </w:r>
      <w:r>
        <w:rPr>
          <w:rFonts w:hint="eastAsia" w:ascii="宋体"/>
          <w:color w:val="auto"/>
          <w:sz w:val="21"/>
          <w:szCs w:val="21"/>
          <w:highlight w:val="none"/>
          <w:lang w:val="en-US" w:eastAsia="zh-CN"/>
        </w:rPr>
        <w:t>乙方</w:t>
      </w:r>
      <w:r>
        <w:rPr>
          <w:rFonts w:hint="default" w:ascii="宋体"/>
          <w:color w:val="auto"/>
          <w:sz w:val="21"/>
          <w:szCs w:val="21"/>
          <w:highlight w:val="none"/>
          <w:lang w:val="en-US" w:eastAsia="zh-CN"/>
        </w:rPr>
        <w:t>开具</w:t>
      </w:r>
      <w:r>
        <w:rPr>
          <w:rFonts w:hint="eastAsia" w:ascii="宋体"/>
          <w:color w:val="auto"/>
          <w:sz w:val="21"/>
          <w:szCs w:val="21"/>
          <w:highlight w:val="none"/>
          <w:lang w:val="en-US" w:eastAsia="zh-CN"/>
        </w:rPr>
        <w:t>的</w:t>
      </w:r>
      <w:r>
        <w:rPr>
          <w:rFonts w:hint="default" w:ascii="宋体"/>
          <w:color w:val="auto"/>
          <w:sz w:val="21"/>
          <w:szCs w:val="21"/>
          <w:highlight w:val="none"/>
          <w:lang w:val="en-US" w:eastAsia="zh-CN"/>
        </w:rPr>
        <w:t>合同全额税率为13%的增值税专用发票后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支付合同总价款</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%款额，即￥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）作为到货款；</w:t>
      </w:r>
    </w:p>
    <w:p w14:paraId="46862FA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200"/>
        <w:jc w:val="left"/>
        <w:textAlignment w:val="auto"/>
        <w:rPr>
          <w:rFonts w:hint="default" w:ascii="宋体"/>
          <w:color w:val="auto"/>
          <w:sz w:val="21"/>
          <w:szCs w:val="21"/>
          <w:highlight w:val="none"/>
          <w:lang w:val="en-US" w:eastAsia="zh-CN"/>
        </w:rPr>
      </w:pPr>
      <w:r>
        <w:rPr>
          <w:rFonts w:hint="default" w:ascii="宋体"/>
          <w:color w:val="auto"/>
          <w:sz w:val="21"/>
          <w:szCs w:val="21"/>
          <w:highlight w:val="none"/>
          <w:lang w:val="en-US" w:eastAsia="zh-CN"/>
        </w:rPr>
        <w:t>合同总价的</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%即￥</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（大写人民币</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）为产品的质保金，本合同约定的质保期满后</w:t>
      </w:r>
      <w:r>
        <w:rPr>
          <w:rFonts w:hint="eastAsia" w:ascii="宋体"/>
          <w:color w:val="auto"/>
          <w:sz w:val="21"/>
          <w:szCs w:val="21"/>
          <w:highlight w:val="none"/>
          <w:lang w:val="en-US" w:eastAsia="zh-CN"/>
        </w:rPr>
        <w:t xml:space="preserve">        </w:t>
      </w:r>
      <w:r>
        <w:rPr>
          <w:rFonts w:hint="default" w:ascii="宋体"/>
          <w:color w:val="auto"/>
          <w:sz w:val="21"/>
          <w:szCs w:val="21"/>
          <w:highlight w:val="none"/>
          <w:lang w:val="en-US" w:eastAsia="zh-CN"/>
        </w:rPr>
        <w:t>天内，双方就合同产品若无未解决的质量问题，由</w:t>
      </w:r>
      <w:r>
        <w:rPr>
          <w:rFonts w:hint="eastAsia" w:ascii="宋体"/>
          <w:color w:val="auto"/>
          <w:sz w:val="21"/>
          <w:szCs w:val="21"/>
          <w:highlight w:val="none"/>
          <w:lang w:val="en-US" w:eastAsia="zh-CN"/>
        </w:rPr>
        <w:t>甲方</w:t>
      </w:r>
      <w:r>
        <w:rPr>
          <w:rFonts w:hint="default" w:ascii="宋体"/>
          <w:color w:val="auto"/>
          <w:sz w:val="21"/>
          <w:szCs w:val="21"/>
          <w:highlight w:val="none"/>
          <w:lang w:val="en-US" w:eastAsia="zh-CN"/>
        </w:rPr>
        <w:t>支付</w:t>
      </w:r>
      <w:r>
        <w:rPr>
          <w:rFonts w:hint="eastAsia" w:ascii="宋体"/>
          <w:color w:val="auto"/>
          <w:sz w:val="21"/>
          <w:szCs w:val="21"/>
          <w:highlight w:val="none"/>
          <w:lang w:val="en-US" w:eastAsia="zh-CN"/>
        </w:rPr>
        <w:t>给乙方</w:t>
      </w:r>
      <w:r>
        <w:rPr>
          <w:rFonts w:hint="default" w:ascii="宋体"/>
          <w:color w:val="auto"/>
          <w:sz w:val="21"/>
          <w:szCs w:val="21"/>
          <w:highlight w:val="none"/>
          <w:lang w:val="en-US" w:eastAsia="zh-CN"/>
        </w:rPr>
        <w:t>。</w:t>
      </w:r>
    </w:p>
    <w:p w14:paraId="3AAB6C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4、</w:t>
      </w:r>
      <w:r>
        <w:rPr>
          <w:rFonts w:hint="default" w:ascii="宋体"/>
          <w:color w:val="auto"/>
          <w:sz w:val="21"/>
          <w:szCs w:val="21"/>
          <w:highlight w:val="none"/>
          <w:lang w:val="en-US" w:eastAsia="zh-CN"/>
        </w:rPr>
        <w:t>如乙方不开具或开具不合格的发票，甲方有权迟延支付应付款项直至乙方开具合格票据且不承担任何违约责任，且乙方的各项合同义务仍应按合同约定履行。</w:t>
      </w:r>
    </w:p>
    <w:p w14:paraId="55013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5、</w:t>
      </w:r>
      <w:r>
        <w:rPr>
          <w:rFonts w:hint="default" w:ascii="宋体"/>
          <w:color w:val="auto"/>
          <w:sz w:val="21"/>
          <w:szCs w:val="21"/>
          <w:highlight w:val="none"/>
          <w:lang w:val="en-US" w:eastAsia="zh-CN"/>
        </w:rPr>
        <w:t>由于乙方开具发票不真实、不合格而引起的一切责任（包括商业责任和法律责任)和损失，由乙方承担。</w:t>
      </w:r>
    </w:p>
    <w:p w14:paraId="2C3123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default" w:ascii="宋体"/>
          <w:color w:val="auto"/>
          <w:sz w:val="21"/>
          <w:szCs w:val="21"/>
          <w:highlight w:val="none"/>
          <w:lang w:val="en-US" w:eastAsia="zh-CN"/>
        </w:rPr>
      </w:pPr>
      <w:r>
        <w:rPr>
          <w:rFonts w:hint="eastAsia" w:ascii="宋体"/>
          <w:color w:val="auto"/>
          <w:sz w:val="21"/>
          <w:szCs w:val="21"/>
          <w:highlight w:val="none"/>
          <w:lang w:val="en-US" w:eastAsia="zh-CN"/>
        </w:rPr>
        <w:t>6、</w:t>
      </w:r>
      <w:r>
        <w:rPr>
          <w:rFonts w:hint="default" w:ascii="宋体"/>
          <w:color w:val="auto"/>
          <w:sz w:val="21"/>
          <w:szCs w:val="21"/>
          <w:highlight w:val="none"/>
          <w:lang w:val="en-US" w:eastAsia="zh-CN"/>
        </w:rPr>
        <w:t>双方开票信息如下：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3962"/>
        <w:gridCol w:w="3247"/>
      </w:tblGrid>
      <w:tr w14:paraId="7879E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DF090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c>
          <w:tcPr>
            <w:tcW w:w="3962" w:type="dxa"/>
          </w:tcPr>
          <w:p w14:paraId="20147BF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甲方：</w:t>
            </w:r>
          </w:p>
        </w:tc>
        <w:tc>
          <w:tcPr>
            <w:tcW w:w="3247" w:type="dxa"/>
          </w:tcPr>
          <w:p w14:paraId="59A970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乙方：</w:t>
            </w:r>
          </w:p>
        </w:tc>
      </w:tr>
      <w:tr w14:paraId="6320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3F9BA5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户  名</w:t>
            </w:r>
          </w:p>
        </w:tc>
        <w:tc>
          <w:tcPr>
            <w:tcW w:w="3962" w:type="dxa"/>
          </w:tcPr>
          <w:p w14:paraId="73A546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中国机械总院集团海西（福建）分院有限公司</w:t>
            </w:r>
          </w:p>
        </w:tc>
        <w:tc>
          <w:tcPr>
            <w:tcW w:w="3247" w:type="dxa"/>
          </w:tcPr>
          <w:p w14:paraId="6CFDA3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558A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FE736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开户行</w:t>
            </w:r>
          </w:p>
        </w:tc>
        <w:tc>
          <w:tcPr>
            <w:tcW w:w="3962" w:type="dxa"/>
          </w:tcPr>
          <w:p w14:paraId="0BD667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中国农业银行沙县支行</w:t>
            </w:r>
          </w:p>
        </w:tc>
        <w:tc>
          <w:tcPr>
            <w:tcW w:w="3247" w:type="dxa"/>
          </w:tcPr>
          <w:p w14:paraId="76D873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619D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D1F27A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账  号</w:t>
            </w:r>
          </w:p>
        </w:tc>
        <w:tc>
          <w:tcPr>
            <w:tcW w:w="3962" w:type="dxa"/>
          </w:tcPr>
          <w:p w14:paraId="05B416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13840101040017600</w:t>
            </w:r>
          </w:p>
        </w:tc>
        <w:tc>
          <w:tcPr>
            <w:tcW w:w="3247" w:type="dxa"/>
          </w:tcPr>
          <w:p w14:paraId="78C8107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28771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5B37D38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税  号</w:t>
            </w:r>
          </w:p>
        </w:tc>
        <w:tc>
          <w:tcPr>
            <w:tcW w:w="3962" w:type="dxa"/>
          </w:tcPr>
          <w:p w14:paraId="5B5497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913504270603757361</w:t>
            </w:r>
          </w:p>
        </w:tc>
        <w:tc>
          <w:tcPr>
            <w:tcW w:w="3247" w:type="dxa"/>
          </w:tcPr>
          <w:p w14:paraId="18ABF9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r w14:paraId="583A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14:paraId="2868D5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color w:val="auto"/>
                <w:sz w:val="21"/>
                <w:szCs w:val="21"/>
                <w:highlight w:val="none"/>
                <w:vertAlign w:val="baseline"/>
                <w:lang w:val="en-US" w:eastAsia="zh-CN"/>
              </w:rPr>
            </w:pPr>
            <w:r>
              <w:rPr>
                <w:rFonts w:hint="eastAsia" w:ascii="宋体"/>
                <w:color w:val="auto"/>
                <w:sz w:val="21"/>
                <w:szCs w:val="21"/>
                <w:highlight w:val="none"/>
                <w:vertAlign w:val="baseline"/>
                <w:lang w:val="en-US" w:eastAsia="zh-CN"/>
              </w:rPr>
              <w:t>电  话</w:t>
            </w:r>
          </w:p>
        </w:tc>
        <w:tc>
          <w:tcPr>
            <w:tcW w:w="3962" w:type="dxa"/>
          </w:tcPr>
          <w:p w14:paraId="07A91E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r>
              <w:rPr>
                <w:rFonts w:hint="default" w:ascii="宋体"/>
                <w:color w:val="auto"/>
                <w:sz w:val="21"/>
                <w:szCs w:val="21"/>
                <w:highlight w:val="none"/>
                <w:vertAlign w:val="baseline"/>
                <w:lang w:val="en-US" w:eastAsia="zh-CN"/>
              </w:rPr>
              <w:t>0598-8863008</w:t>
            </w:r>
          </w:p>
        </w:tc>
        <w:tc>
          <w:tcPr>
            <w:tcW w:w="3247" w:type="dxa"/>
          </w:tcPr>
          <w:p w14:paraId="3DDBED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vertAlign w:val="baseline"/>
                <w:lang w:val="en-US" w:eastAsia="zh-CN"/>
              </w:rPr>
            </w:pPr>
          </w:p>
        </w:tc>
      </w:tr>
    </w:tbl>
    <w:p w14:paraId="43457D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color w:val="auto"/>
          <w:sz w:val="21"/>
          <w:szCs w:val="21"/>
          <w:highlight w:val="none"/>
          <w:lang w:val="en-US" w:eastAsia="zh-CN"/>
        </w:rPr>
      </w:pPr>
    </w:p>
    <w:p w14:paraId="44B89C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hAnsi="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1CFFE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1、</w:t>
      </w:r>
      <w:r>
        <w:rPr>
          <w:rFonts w:hint="eastAsia" w:ascii="宋体"/>
          <w:color w:val="auto"/>
          <w:sz w:val="21"/>
          <w:szCs w:val="21"/>
          <w:highlight w:val="none"/>
          <w:lang w:eastAsia="zh-CN"/>
        </w:rPr>
        <w:t>乙方</w:t>
      </w:r>
      <w:r>
        <w:rPr>
          <w:rFonts w:hint="eastAsia" w:ascii="宋体"/>
          <w:color w:val="auto"/>
          <w:sz w:val="21"/>
          <w:szCs w:val="21"/>
          <w:highlight w:val="none"/>
        </w:rPr>
        <w:t>未按约定按时履约的，每逾期一日，按照相应产品的总价款的0.1％向</w:t>
      </w:r>
      <w:r>
        <w:rPr>
          <w:rFonts w:hint="eastAsia" w:ascii="宋体"/>
          <w:color w:val="auto"/>
          <w:sz w:val="21"/>
          <w:szCs w:val="21"/>
          <w:highlight w:val="none"/>
          <w:lang w:eastAsia="zh-CN"/>
        </w:rPr>
        <w:t>甲方</w:t>
      </w:r>
      <w:r>
        <w:rPr>
          <w:rFonts w:hint="eastAsia" w:ascii="宋体"/>
          <w:color w:val="auto"/>
          <w:sz w:val="21"/>
          <w:szCs w:val="21"/>
          <w:highlight w:val="none"/>
        </w:rPr>
        <w:t>支付违约金。若逾期超过60日，</w:t>
      </w:r>
      <w:r>
        <w:rPr>
          <w:rFonts w:hint="eastAsia" w:ascii="宋体"/>
          <w:color w:val="auto"/>
          <w:sz w:val="21"/>
          <w:szCs w:val="21"/>
          <w:highlight w:val="none"/>
          <w:lang w:eastAsia="zh-CN"/>
        </w:rPr>
        <w:t>甲方</w:t>
      </w:r>
      <w:r>
        <w:rPr>
          <w:rFonts w:hint="eastAsia" w:ascii="宋体"/>
          <w:color w:val="auto"/>
          <w:sz w:val="21"/>
          <w:szCs w:val="21"/>
          <w:highlight w:val="none"/>
        </w:rPr>
        <w:t>可单方解除本合同或取消对相应产品的采购，</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1662CE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2、</w:t>
      </w:r>
      <w:r>
        <w:rPr>
          <w:rFonts w:hint="eastAsia" w:ascii="宋体"/>
          <w:color w:val="auto"/>
          <w:sz w:val="21"/>
          <w:szCs w:val="21"/>
          <w:highlight w:val="none"/>
          <w:lang w:eastAsia="zh-CN"/>
        </w:rPr>
        <w:t>甲方</w:t>
      </w:r>
      <w:r>
        <w:rPr>
          <w:rFonts w:hint="eastAsia" w:ascii="宋体"/>
          <w:color w:val="auto"/>
          <w:sz w:val="21"/>
          <w:szCs w:val="21"/>
          <w:highlight w:val="none"/>
        </w:rPr>
        <w:t>逾期付款的，每逾期一日，以逾期付款金额的0.1％向</w:t>
      </w:r>
      <w:r>
        <w:rPr>
          <w:rFonts w:hint="eastAsia" w:ascii="宋体"/>
          <w:color w:val="auto"/>
          <w:sz w:val="21"/>
          <w:szCs w:val="21"/>
          <w:highlight w:val="none"/>
          <w:lang w:eastAsia="zh-CN"/>
        </w:rPr>
        <w:t>乙方</w:t>
      </w:r>
      <w:r>
        <w:rPr>
          <w:rFonts w:hint="eastAsia" w:ascii="宋体"/>
          <w:color w:val="auto"/>
          <w:sz w:val="21"/>
          <w:szCs w:val="21"/>
          <w:highlight w:val="none"/>
        </w:rPr>
        <w:t>支付违约金。</w:t>
      </w:r>
    </w:p>
    <w:p w14:paraId="0AA811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3、</w:t>
      </w:r>
      <w:r>
        <w:rPr>
          <w:rFonts w:hint="eastAsia" w:ascii="宋体"/>
          <w:color w:val="auto"/>
          <w:sz w:val="21"/>
          <w:szCs w:val="21"/>
          <w:highlight w:val="none"/>
          <w:lang w:eastAsia="zh-CN"/>
        </w:rPr>
        <w:t>乙方</w:t>
      </w:r>
      <w:r>
        <w:rPr>
          <w:rFonts w:hint="eastAsia" w:ascii="宋体"/>
          <w:color w:val="auto"/>
          <w:sz w:val="21"/>
          <w:szCs w:val="21"/>
          <w:highlight w:val="none"/>
        </w:rPr>
        <w:t>无故解除本合同或存在其他违约行为的，</w:t>
      </w:r>
      <w:r>
        <w:rPr>
          <w:rFonts w:hint="eastAsia" w:ascii="宋体"/>
          <w:color w:val="auto"/>
          <w:sz w:val="21"/>
          <w:szCs w:val="21"/>
          <w:highlight w:val="none"/>
          <w:lang w:eastAsia="zh-CN"/>
        </w:rPr>
        <w:t>乙方</w:t>
      </w:r>
      <w:r>
        <w:rPr>
          <w:rFonts w:hint="eastAsia" w:ascii="宋体"/>
          <w:color w:val="auto"/>
          <w:sz w:val="21"/>
          <w:szCs w:val="21"/>
          <w:highlight w:val="none"/>
        </w:rPr>
        <w:t>应按相应产品总价款的</w:t>
      </w:r>
      <w:r>
        <w:rPr>
          <w:rFonts w:hint="eastAsia" w:ascii="宋体"/>
          <w:color w:val="auto"/>
          <w:sz w:val="21"/>
          <w:szCs w:val="21"/>
          <w:highlight w:val="none"/>
          <w:lang w:val="en-US" w:eastAsia="zh-CN"/>
        </w:rPr>
        <w:t>3</w:t>
      </w:r>
      <w:r>
        <w:rPr>
          <w:rFonts w:hint="eastAsia" w:ascii="宋体"/>
          <w:color w:val="auto"/>
          <w:sz w:val="21"/>
          <w:szCs w:val="21"/>
          <w:highlight w:val="none"/>
        </w:rPr>
        <w:t>0％向</w:t>
      </w:r>
      <w:r>
        <w:rPr>
          <w:rFonts w:hint="eastAsia" w:ascii="宋体"/>
          <w:color w:val="auto"/>
          <w:sz w:val="21"/>
          <w:szCs w:val="21"/>
          <w:highlight w:val="none"/>
          <w:lang w:eastAsia="zh-CN"/>
        </w:rPr>
        <w:t>甲方</w:t>
      </w:r>
      <w:r>
        <w:rPr>
          <w:rFonts w:hint="eastAsia" w:ascii="宋体"/>
          <w:color w:val="auto"/>
          <w:sz w:val="21"/>
          <w:szCs w:val="21"/>
          <w:highlight w:val="none"/>
        </w:rPr>
        <w:t>支付违约金。</w:t>
      </w:r>
    </w:p>
    <w:p w14:paraId="72F654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eastAsia="宋体"/>
          <w:color w:val="auto"/>
          <w:sz w:val="21"/>
          <w:szCs w:val="21"/>
          <w:highlight w:val="none"/>
          <w:lang w:eastAsia="zh-CN"/>
        </w:rPr>
      </w:pPr>
      <w:r>
        <w:rPr>
          <w:rFonts w:hint="eastAsia" w:ascii="宋体"/>
          <w:color w:val="auto"/>
          <w:sz w:val="21"/>
          <w:szCs w:val="21"/>
          <w:highlight w:val="none"/>
          <w:lang w:val="en-US" w:eastAsia="zh-CN"/>
        </w:rPr>
        <w:t>4、</w:t>
      </w:r>
      <w:r>
        <w:rPr>
          <w:rFonts w:hint="eastAsia" w:ascii="宋体"/>
          <w:color w:val="auto"/>
          <w:sz w:val="21"/>
          <w:szCs w:val="21"/>
          <w:highlight w:val="none"/>
          <w:lang w:eastAsia="zh-CN"/>
        </w:rPr>
        <w:t>甲方</w:t>
      </w:r>
      <w:r>
        <w:rPr>
          <w:rFonts w:hint="eastAsia" w:ascii="宋体"/>
          <w:color w:val="auto"/>
          <w:sz w:val="21"/>
          <w:szCs w:val="21"/>
          <w:highlight w:val="none"/>
        </w:rPr>
        <w:t>的损失大于本合同约定的违约金的，</w:t>
      </w:r>
      <w:r>
        <w:rPr>
          <w:rFonts w:hint="eastAsia" w:ascii="宋体"/>
          <w:color w:val="auto"/>
          <w:sz w:val="21"/>
          <w:szCs w:val="21"/>
          <w:highlight w:val="none"/>
          <w:lang w:eastAsia="zh-CN"/>
        </w:rPr>
        <w:t>乙方</w:t>
      </w:r>
      <w:r>
        <w:rPr>
          <w:rFonts w:hint="eastAsia" w:ascii="宋体"/>
          <w:color w:val="auto"/>
          <w:sz w:val="21"/>
          <w:szCs w:val="21"/>
          <w:highlight w:val="none"/>
        </w:rPr>
        <w:t>应</w:t>
      </w:r>
      <w:r>
        <w:rPr>
          <w:rFonts w:hint="eastAsia" w:ascii="宋体"/>
          <w:color w:val="auto"/>
          <w:sz w:val="21"/>
          <w:szCs w:val="21"/>
          <w:highlight w:val="none"/>
          <w:lang w:val="en-US" w:eastAsia="zh-CN"/>
        </w:rPr>
        <w:t>承担补足</w:t>
      </w:r>
      <w:r>
        <w:rPr>
          <w:rFonts w:hint="eastAsia" w:ascii="宋体"/>
          <w:color w:val="auto"/>
          <w:sz w:val="21"/>
          <w:szCs w:val="21"/>
          <w:highlight w:val="none"/>
          <w:lang w:eastAsia="zh-CN"/>
        </w:rPr>
        <w:t>甲方</w:t>
      </w:r>
      <w:r>
        <w:rPr>
          <w:rFonts w:hint="eastAsia" w:ascii="宋体"/>
          <w:color w:val="auto"/>
          <w:sz w:val="21"/>
          <w:szCs w:val="21"/>
          <w:highlight w:val="none"/>
          <w:lang w:val="en-US" w:eastAsia="zh-CN"/>
        </w:rPr>
        <w:t>的全部</w:t>
      </w:r>
      <w:r>
        <w:rPr>
          <w:rFonts w:hint="eastAsia" w:ascii="宋体"/>
          <w:color w:val="auto"/>
          <w:sz w:val="21"/>
          <w:szCs w:val="21"/>
          <w:highlight w:val="none"/>
        </w:rPr>
        <w:t>损失</w:t>
      </w:r>
      <w:r>
        <w:rPr>
          <w:rFonts w:hint="eastAsia" w:ascii="宋体"/>
          <w:color w:val="auto"/>
          <w:sz w:val="21"/>
          <w:szCs w:val="21"/>
          <w:highlight w:val="none"/>
          <w:lang w:eastAsia="zh-CN"/>
        </w:rPr>
        <w:t>。</w:t>
      </w:r>
    </w:p>
    <w:p w14:paraId="73AE2F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5、</w:t>
      </w:r>
      <w:r>
        <w:rPr>
          <w:rFonts w:hint="eastAsia" w:ascii="宋体"/>
          <w:color w:val="auto"/>
          <w:sz w:val="21"/>
          <w:szCs w:val="21"/>
          <w:highlight w:val="none"/>
          <w:lang w:eastAsia="zh-CN"/>
        </w:rPr>
        <w:t>乙方</w:t>
      </w:r>
      <w:r>
        <w:rPr>
          <w:rFonts w:hint="eastAsia" w:ascii="宋体"/>
          <w:color w:val="auto"/>
          <w:sz w:val="21"/>
          <w:szCs w:val="21"/>
          <w:highlight w:val="none"/>
        </w:rPr>
        <w:t>因本合同约定应向</w:t>
      </w:r>
      <w:r>
        <w:rPr>
          <w:rFonts w:hint="eastAsia" w:ascii="宋体"/>
          <w:color w:val="auto"/>
          <w:sz w:val="21"/>
          <w:szCs w:val="21"/>
          <w:highlight w:val="none"/>
          <w:lang w:eastAsia="zh-CN"/>
        </w:rPr>
        <w:t>甲方</w:t>
      </w:r>
      <w:r>
        <w:rPr>
          <w:rFonts w:hint="eastAsia" w:ascii="宋体"/>
          <w:color w:val="auto"/>
          <w:sz w:val="21"/>
          <w:szCs w:val="21"/>
          <w:highlight w:val="none"/>
        </w:rPr>
        <w:t>支付的各项费用、违约金、赔偿等，</w:t>
      </w:r>
      <w:r>
        <w:rPr>
          <w:rFonts w:hint="eastAsia" w:ascii="宋体"/>
          <w:color w:val="auto"/>
          <w:sz w:val="21"/>
          <w:szCs w:val="21"/>
          <w:highlight w:val="none"/>
          <w:lang w:val="en-US" w:eastAsia="zh-CN"/>
        </w:rPr>
        <w:t>甲方有权从最近一笔付款中扣除相应金额。如果最近一笔付款不足以抵扣违约金的，则可从下一笔付款中继续扣除，仍不足以抵扣的，甲方保留向乙方追究责任的权利。</w:t>
      </w:r>
    </w:p>
    <w:p w14:paraId="088C1A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val="en-US" w:eastAsia="zh-CN"/>
        </w:rPr>
        <w:t>6、</w:t>
      </w:r>
      <w:r>
        <w:rPr>
          <w:rFonts w:hint="eastAsia" w:ascii="宋体"/>
          <w:color w:val="auto"/>
          <w:sz w:val="21"/>
          <w:szCs w:val="21"/>
          <w:highlight w:val="none"/>
        </w:rPr>
        <w:t>违约方承担守约方</w:t>
      </w:r>
      <w:r>
        <w:rPr>
          <w:rFonts w:hint="eastAsia" w:ascii="宋体"/>
          <w:color w:val="auto"/>
          <w:sz w:val="21"/>
          <w:szCs w:val="21"/>
          <w:highlight w:val="none"/>
          <w:lang w:val="en-US" w:eastAsia="zh-CN"/>
        </w:rPr>
        <w:t>的损失中还应</w:t>
      </w:r>
      <w:r>
        <w:rPr>
          <w:rFonts w:hint="eastAsia" w:ascii="宋体"/>
          <w:color w:val="auto"/>
          <w:sz w:val="21"/>
          <w:szCs w:val="21"/>
          <w:highlight w:val="none"/>
        </w:rPr>
        <w:t>包括但不限于律师费、诉讼费、保全费</w:t>
      </w:r>
      <w:r>
        <w:rPr>
          <w:rFonts w:hint="eastAsia" w:ascii="宋体"/>
          <w:color w:val="auto"/>
          <w:sz w:val="21"/>
          <w:szCs w:val="21"/>
          <w:highlight w:val="none"/>
          <w:lang w:val="en-US" w:eastAsia="zh-CN"/>
        </w:rPr>
        <w:t>及保险费</w:t>
      </w:r>
      <w:r>
        <w:rPr>
          <w:rFonts w:hint="eastAsia" w:ascii="宋体"/>
          <w:color w:val="auto"/>
          <w:sz w:val="21"/>
          <w:szCs w:val="21"/>
          <w:highlight w:val="none"/>
        </w:rPr>
        <w:t>、评估费、鉴定费等。</w:t>
      </w:r>
    </w:p>
    <w:p w14:paraId="640E83F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1"/>
          <w:szCs w:val="21"/>
          <w:highlight w:val="none"/>
        </w:rPr>
      </w:pPr>
      <w:r>
        <w:rPr>
          <w:rFonts w:hint="eastAsia" w:ascii="宋体"/>
          <w:b/>
          <w:bCs/>
          <w:color w:val="auto"/>
          <w:sz w:val="21"/>
          <w:szCs w:val="21"/>
          <w:highlight w:val="none"/>
          <w:lang w:val="en-US" w:eastAsia="zh-CN"/>
        </w:rPr>
        <w:t>八</w:t>
      </w:r>
      <w:r>
        <w:rPr>
          <w:rFonts w:hint="eastAsia" w:ascii="宋体"/>
          <w:b/>
          <w:bCs/>
          <w:color w:val="auto"/>
          <w:sz w:val="21"/>
          <w:szCs w:val="21"/>
          <w:highlight w:val="none"/>
        </w:rPr>
        <w:t>：</w:t>
      </w:r>
      <w:r>
        <w:rPr>
          <w:rFonts w:hint="eastAsia" w:ascii="宋体"/>
          <w:b/>
          <w:bCs/>
          <w:color w:val="auto"/>
          <w:sz w:val="21"/>
          <w:szCs w:val="21"/>
          <w:highlight w:val="none"/>
          <w:lang w:val="en-US" w:eastAsia="zh-CN"/>
        </w:rPr>
        <w:t>争议解决</w:t>
      </w:r>
      <w:r>
        <w:rPr>
          <w:rFonts w:hint="eastAsia" w:ascii="宋体"/>
          <w:b/>
          <w:bCs/>
          <w:color w:val="auto"/>
          <w:sz w:val="21"/>
          <w:szCs w:val="21"/>
          <w:highlight w:val="none"/>
        </w:rPr>
        <w:t>：</w:t>
      </w:r>
    </w:p>
    <w:p w14:paraId="744B9B1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未尽事宜双方友好协商解决，并以书面形式作为合同附件。协商不成按第</w:t>
      </w:r>
      <w:r>
        <w:rPr>
          <w:rFonts w:hint="eastAsia" w:ascii="宋体"/>
          <w:color w:val="auto"/>
          <w:sz w:val="21"/>
          <w:szCs w:val="21"/>
          <w:highlight w:val="none"/>
          <w:u w:val="single"/>
          <w:lang w:val="en-US" w:eastAsia="zh-CN"/>
        </w:rPr>
        <w:t xml:space="preserve">  2   </w:t>
      </w:r>
      <w:r>
        <w:rPr>
          <w:rFonts w:hint="eastAsia" w:ascii="宋体"/>
          <w:color w:val="auto"/>
          <w:sz w:val="21"/>
          <w:szCs w:val="21"/>
          <w:highlight w:val="none"/>
          <w:lang w:val="en-US" w:eastAsia="zh-CN"/>
        </w:rPr>
        <w:t xml:space="preserve"> </w:t>
      </w:r>
      <w:r>
        <w:rPr>
          <w:rFonts w:hint="eastAsia" w:ascii="宋体"/>
          <w:color w:val="auto"/>
          <w:sz w:val="21"/>
          <w:szCs w:val="21"/>
          <w:highlight w:val="none"/>
        </w:rPr>
        <w:t>种方式解决。</w:t>
      </w:r>
    </w:p>
    <w:p w14:paraId="2AFF86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eastAsia="zh-CN"/>
        </w:rPr>
      </w:pPr>
      <w:r>
        <w:rPr>
          <w:rFonts w:hint="eastAsia" w:ascii="宋体"/>
          <w:color w:val="auto"/>
          <w:sz w:val="21"/>
          <w:szCs w:val="21"/>
          <w:highlight w:val="none"/>
          <w:lang w:val="en-US" w:eastAsia="zh-CN"/>
        </w:rPr>
        <w:t>1、提交</w:t>
      </w:r>
      <w:r>
        <w:rPr>
          <w:rFonts w:hint="eastAsia" w:ascii="宋体"/>
          <w:color w:val="auto"/>
          <w:sz w:val="21"/>
          <w:szCs w:val="21"/>
          <w:highlight w:val="none"/>
        </w:rPr>
        <w:t>合同履行地仲裁委员会仲裁</w:t>
      </w:r>
      <w:r>
        <w:rPr>
          <w:rFonts w:hint="eastAsia" w:ascii="宋体"/>
          <w:color w:val="auto"/>
          <w:sz w:val="21"/>
          <w:szCs w:val="21"/>
          <w:highlight w:val="none"/>
          <w:lang w:eastAsia="zh-CN"/>
        </w:rPr>
        <w:t>；</w:t>
      </w:r>
    </w:p>
    <w:p w14:paraId="7E217B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color w:val="auto"/>
          <w:sz w:val="21"/>
          <w:szCs w:val="21"/>
          <w:highlight w:val="none"/>
          <w:lang w:val="en-US" w:eastAsia="zh-CN"/>
        </w:rPr>
      </w:pPr>
      <w:r>
        <w:rPr>
          <w:rFonts w:hint="eastAsia" w:ascii="宋体"/>
          <w:color w:val="auto"/>
          <w:sz w:val="21"/>
          <w:szCs w:val="21"/>
          <w:highlight w:val="none"/>
          <w:lang w:val="en-US" w:eastAsia="zh-CN"/>
        </w:rPr>
        <w:t>2、向甲方所在</w:t>
      </w:r>
      <w:r>
        <w:rPr>
          <w:rFonts w:hint="eastAsia" w:ascii="宋体"/>
          <w:color w:val="auto"/>
          <w:sz w:val="21"/>
          <w:szCs w:val="21"/>
          <w:highlight w:val="none"/>
        </w:rPr>
        <w:t>地</w:t>
      </w:r>
      <w:r>
        <w:rPr>
          <w:rFonts w:hint="eastAsia" w:ascii="宋体"/>
          <w:color w:val="auto"/>
          <w:sz w:val="21"/>
          <w:szCs w:val="21"/>
          <w:highlight w:val="none"/>
          <w:lang w:val="en-US" w:eastAsia="zh-CN"/>
        </w:rPr>
        <w:t>具有管辖权的</w:t>
      </w:r>
      <w:r>
        <w:rPr>
          <w:rFonts w:hint="eastAsia" w:ascii="宋体"/>
          <w:color w:val="auto"/>
          <w:sz w:val="21"/>
          <w:szCs w:val="21"/>
          <w:highlight w:val="none"/>
        </w:rPr>
        <w:t>人民法院起诉。</w:t>
      </w:r>
    </w:p>
    <w:p w14:paraId="1AE62F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九：保修期及安装、人员培训</w:t>
      </w:r>
    </w:p>
    <w:p w14:paraId="201E08E4">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保修期内因质量问题而导致设备停用的时间应从保修期中扣除。货品在正常维护、保养及使用情形下发生故障或损坏，</w:t>
      </w:r>
      <w:r>
        <w:rPr>
          <w:rFonts w:hint="eastAsia" w:ascii="宋体" w:hAnsi="宋体"/>
          <w:color w:val="auto"/>
          <w:szCs w:val="21"/>
          <w:highlight w:val="none"/>
          <w:lang w:val="en-US" w:eastAsia="zh-CN"/>
        </w:rPr>
        <w:t>乙</w:t>
      </w:r>
      <w:r>
        <w:rPr>
          <w:rFonts w:hint="eastAsia" w:ascii="宋体" w:hAnsi="宋体"/>
          <w:color w:val="auto"/>
          <w:szCs w:val="21"/>
          <w:highlight w:val="none"/>
        </w:rPr>
        <w:t>方应负责迅速修复设备至正常生产使用，因而发生的零件，维修及其它费用由</w:t>
      </w:r>
      <w:r>
        <w:rPr>
          <w:rFonts w:hint="eastAsia" w:ascii="宋体" w:hAnsi="宋体"/>
          <w:color w:val="auto"/>
          <w:szCs w:val="21"/>
          <w:highlight w:val="none"/>
          <w:lang w:val="en-US" w:eastAsia="zh-CN"/>
        </w:rPr>
        <w:t>乙</w:t>
      </w:r>
      <w:r>
        <w:rPr>
          <w:rFonts w:hint="eastAsia" w:ascii="宋体" w:hAnsi="宋体"/>
          <w:color w:val="auto"/>
          <w:szCs w:val="21"/>
          <w:highlight w:val="none"/>
        </w:rPr>
        <w:t>方自行负担；保固期满后</w:t>
      </w:r>
      <w:r>
        <w:rPr>
          <w:rFonts w:hint="eastAsia" w:ascii="宋体" w:hAnsi="宋体"/>
          <w:color w:val="auto"/>
          <w:szCs w:val="21"/>
          <w:highlight w:val="none"/>
          <w:lang w:val="en-US" w:eastAsia="zh-CN"/>
        </w:rPr>
        <w:t>乙</w:t>
      </w:r>
      <w:r>
        <w:rPr>
          <w:rFonts w:hint="eastAsia" w:ascii="宋体" w:hAnsi="宋体"/>
          <w:color w:val="auto"/>
          <w:szCs w:val="21"/>
          <w:highlight w:val="none"/>
        </w:rPr>
        <w:t>方对货品之维修得酌收零件、维修及交通等费用。</w:t>
      </w:r>
    </w:p>
    <w:p w14:paraId="6554DD6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机器到达</w:t>
      </w:r>
      <w:r>
        <w:rPr>
          <w:rFonts w:hint="eastAsia" w:ascii="宋体" w:hAnsi="宋体"/>
          <w:color w:val="auto"/>
          <w:szCs w:val="21"/>
          <w:highlight w:val="none"/>
          <w:lang w:val="en-US" w:eastAsia="zh-CN"/>
        </w:rPr>
        <w:t>甲</w:t>
      </w:r>
      <w:r>
        <w:rPr>
          <w:rFonts w:hint="eastAsia" w:ascii="宋体" w:hAnsi="宋体"/>
          <w:color w:val="auto"/>
          <w:szCs w:val="21"/>
          <w:highlight w:val="none"/>
        </w:rPr>
        <w:t>方装机地点后，</w:t>
      </w:r>
      <w:r>
        <w:rPr>
          <w:rFonts w:hint="eastAsia" w:ascii="宋体" w:hAnsi="宋体"/>
          <w:color w:val="auto"/>
          <w:szCs w:val="21"/>
          <w:highlight w:val="none"/>
          <w:lang w:val="en-US" w:eastAsia="zh-CN"/>
        </w:rPr>
        <w:t>甲</w:t>
      </w:r>
      <w:r>
        <w:rPr>
          <w:rFonts w:hint="eastAsia" w:ascii="宋体" w:hAnsi="宋体"/>
          <w:color w:val="auto"/>
          <w:szCs w:val="21"/>
          <w:highlight w:val="none"/>
        </w:rPr>
        <w:t>方通知</w:t>
      </w:r>
      <w:r>
        <w:rPr>
          <w:rFonts w:hint="eastAsia" w:ascii="宋体" w:hAnsi="宋体"/>
          <w:color w:val="auto"/>
          <w:szCs w:val="21"/>
          <w:highlight w:val="none"/>
          <w:lang w:val="en-US" w:eastAsia="zh-CN"/>
        </w:rPr>
        <w:t>乙</w:t>
      </w:r>
      <w:r>
        <w:rPr>
          <w:rFonts w:hint="eastAsia" w:ascii="宋体" w:hAnsi="宋体"/>
          <w:color w:val="auto"/>
          <w:szCs w:val="21"/>
          <w:highlight w:val="none"/>
        </w:rPr>
        <w:t>方安排人员对设备进行安装调校及测试工作。同时</w:t>
      </w:r>
      <w:r>
        <w:rPr>
          <w:rFonts w:hint="eastAsia" w:ascii="宋体" w:hAnsi="宋体"/>
          <w:color w:val="auto"/>
          <w:szCs w:val="21"/>
          <w:highlight w:val="none"/>
          <w:lang w:val="en-US" w:eastAsia="zh-CN"/>
        </w:rPr>
        <w:t>乙</w:t>
      </w:r>
      <w:r>
        <w:rPr>
          <w:rFonts w:hint="eastAsia" w:ascii="宋体" w:hAnsi="宋体"/>
          <w:color w:val="auto"/>
          <w:szCs w:val="21"/>
          <w:highlight w:val="none"/>
        </w:rPr>
        <w:t>方应根据安装，调试的进度具体安排相应的现场培训，培训内容应侧重于安装，调试，设备操守，及维护等内容。后续如</w:t>
      </w:r>
      <w:r>
        <w:rPr>
          <w:rFonts w:hint="eastAsia" w:ascii="宋体" w:hAnsi="宋体"/>
          <w:color w:val="auto"/>
          <w:szCs w:val="21"/>
          <w:highlight w:val="none"/>
          <w:lang w:val="en-US" w:eastAsia="zh-CN"/>
        </w:rPr>
        <w:t>甲</w:t>
      </w:r>
      <w:r>
        <w:rPr>
          <w:rFonts w:hint="eastAsia" w:ascii="宋体" w:hAnsi="宋体"/>
          <w:color w:val="auto"/>
          <w:szCs w:val="21"/>
          <w:highlight w:val="none"/>
        </w:rPr>
        <w:t>方仍有培训需求，</w:t>
      </w:r>
      <w:r>
        <w:rPr>
          <w:rFonts w:hint="eastAsia" w:ascii="宋体" w:hAnsi="宋体"/>
          <w:color w:val="auto"/>
          <w:szCs w:val="21"/>
          <w:highlight w:val="none"/>
          <w:lang w:val="en-US" w:eastAsia="zh-CN"/>
        </w:rPr>
        <w:t>乙</w:t>
      </w:r>
      <w:r>
        <w:rPr>
          <w:rFonts w:hint="eastAsia" w:ascii="宋体" w:hAnsi="宋体"/>
          <w:color w:val="auto"/>
          <w:szCs w:val="21"/>
          <w:highlight w:val="none"/>
        </w:rPr>
        <w:t>方再进行一次前述培训。</w:t>
      </w:r>
    </w:p>
    <w:p w14:paraId="13E4CB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 维修反应时间：</w:t>
      </w:r>
    </w:p>
    <w:p w14:paraId="5D938A2D">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乙</w:t>
      </w:r>
      <w:r>
        <w:rPr>
          <w:rFonts w:hint="eastAsia" w:ascii="宋体" w:hAnsi="宋体"/>
          <w:color w:val="auto"/>
          <w:szCs w:val="21"/>
          <w:highlight w:val="none"/>
        </w:rPr>
        <w:t>方应在工作日24小时内对</w:t>
      </w:r>
      <w:r>
        <w:rPr>
          <w:rFonts w:hint="eastAsia" w:ascii="宋体" w:hAnsi="宋体"/>
          <w:color w:val="auto"/>
          <w:szCs w:val="21"/>
          <w:highlight w:val="none"/>
          <w:lang w:val="en-US" w:eastAsia="zh-CN"/>
        </w:rPr>
        <w:t>甲</w:t>
      </w:r>
      <w:r>
        <w:rPr>
          <w:rFonts w:hint="eastAsia" w:ascii="宋体" w:hAnsi="宋体"/>
          <w:color w:val="auto"/>
          <w:szCs w:val="21"/>
          <w:highlight w:val="none"/>
        </w:rPr>
        <w:t>方的报修申请做出反应。一般性问题应在工作日</w:t>
      </w:r>
      <w:r>
        <w:rPr>
          <w:rFonts w:ascii="宋体" w:hAnsi="宋体"/>
          <w:color w:val="auto"/>
          <w:szCs w:val="21"/>
          <w:highlight w:val="none"/>
        </w:rPr>
        <w:t>72</w:t>
      </w:r>
      <w:r>
        <w:rPr>
          <w:rFonts w:hint="eastAsia" w:ascii="宋体" w:hAnsi="宋体"/>
          <w:color w:val="auto"/>
          <w:szCs w:val="21"/>
          <w:highlight w:val="none"/>
        </w:rPr>
        <w:t>小时内解决；对于在工作日</w:t>
      </w:r>
      <w:r>
        <w:rPr>
          <w:rFonts w:ascii="宋体" w:hAnsi="宋体"/>
          <w:color w:val="auto"/>
          <w:szCs w:val="21"/>
          <w:highlight w:val="none"/>
        </w:rPr>
        <w:t>72</w:t>
      </w:r>
      <w:r>
        <w:rPr>
          <w:rFonts w:hint="eastAsia" w:ascii="宋体" w:hAnsi="宋体"/>
          <w:color w:val="auto"/>
          <w:szCs w:val="21"/>
          <w:highlight w:val="none"/>
        </w:rPr>
        <w:t>小时内无法解决的其它较大的问题，应在</w:t>
      </w:r>
      <w:r>
        <w:rPr>
          <w:rFonts w:ascii="宋体" w:hAnsi="宋体"/>
          <w:color w:val="auto"/>
          <w:szCs w:val="21"/>
          <w:highlight w:val="none"/>
        </w:rPr>
        <w:t>5</w:t>
      </w:r>
      <w:r>
        <w:rPr>
          <w:rFonts w:hint="eastAsia" w:ascii="宋体" w:hAnsi="宋体"/>
          <w:color w:val="auto"/>
          <w:szCs w:val="21"/>
          <w:highlight w:val="none"/>
        </w:rPr>
        <w:t>个工作日内给以解决；对于在</w:t>
      </w:r>
      <w:r>
        <w:rPr>
          <w:rFonts w:ascii="宋体" w:hAnsi="宋体"/>
          <w:color w:val="auto"/>
          <w:szCs w:val="21"/>
          <w:highlight w:val="none"/>
        </w:rPr>
        <w:t>5</w:t>
      </w:r>
      <w:r>
        <w:rPr>
          <w:rFonts w:hint="eastAsia" w:ascii="宋体" w:hAnsi="宋体"/>
          <w:color w:val="auto"/>
          <w:szCs w:val="21"/>
          <w:highlight w:val="none"/>
        </w:rPr>
        <w:t>个工作日内不能解决的问题，应提出明确的解决方案，经双方协商后，在预定的期限内解决问题。如</w:t>
      </w:r>
      <w:r>
        <w:rPr>
          <w:rFonts w:hint="eastAsia" w:ascii="MS Gothic" w:hAnsi="MS Gothic" w:cs="MS Gothic"/>
          <w:color w:val="auto"/>
          <w:szCs w:val="21"/>
          <w:highlight w:val="none"/>
          <w:lang w:val="en-US" w:eastAsia="zh-CN"/>
        </w:rPr>
        <w:t>乙</w:t>
      </w:r>
      <w:r>
        <w:rPr>
          <w:rFonts w:hint="eastAsia" w:ascii="宋体" w:hAnsi="宋体"/>
          <w:color w:val="auto"/>
          <w:szCs w:val="21"/>
          <w:highlight w:val="none"/>
        </w:rPr>
        <w:t>方无法排除故障，</w:t>
      </w:r>
      <w:r>
        <w:rPr>
          <w:rFonts w:hint="eastAsia" w:ascii="宋体" w:hAnsi="宋体"/>
          <w:color w:val="auto"/>
          <w:szCs w:val="21"/>
          <w:highlight w:val="none"/>
          <w:lang w:val="en-US" w:eastAsia="zh-CN"/>
        </w:rPr>
        <w:t>乙</w:t>
      </w:r>
      <w:r>
        <w:rPr>
          <w:rFonts w:hint="eastAsia" w:ascii="宋体" w:hAnsi="宋体"/>
          <w:color w:val="auto"/>
          <w:szCs w:val="21"/>
          <w:highlight w:val="none"/>
        </w:rPr>
        <w:t>方应赔偿由此而造成的直接损失</w:t>
      </w:r>
      <w:r>
        <w:rPr>
          <w:rFonts w:ascii="宋体" w:hAnsi="宋体"/>
          <w:color w:val="auto"/>
          <w:szCs w:val="21"/>
          <w:highlight w:val="none"/>
        </w:rPr>
        <w:t>(</w:t>
      </w:r>
      <w:r>
        <w:rPr>
          <w:rFonts w:hint="eastAsia" w:ascii="宋体" w:hAnsi="宋体"/>
          <w:color w:val="auto"/>
          <w:szCs w:val="21"/>
          <w:highlight w:val="none"/>
        </w:rPr>
        <w:t>人为问题</w:t>
      </w:r>
      <w:r>
        <w:rPr>
          <w:rFonts w:hint="eastAsia" w:ascii="宋体" w:hAnsi="宋体"/>
          <w:color w:val="auto"/>
          <w:szCs w:val="21"/>
          <w:highlight w:val="none"/>
          <w:lang w:val="en-US" w:eastAsia="zh-CN"/>
        </w:rPr>
        <w:tab/>
      </w:r>
      <w:r>
        <w:rPr>
          <w:rFonts w:hint="eastAsia" w:ascii="宋体" w:hAnsi="宋体"/>
          <w:color w:val="auto"/>
          <w:szCs w:val="21"/>
          <w:highlight w:val="none"/>
        </w:rPr>
        <w:t>除外</w:t>
      </w:r>
      <w:r>
        <w:rPr>
          <w:rFonts w:ascii="宋体" w:hAnsi="宋体"/>
          <w:color w:val="auto"/>
          <w:szCs w:val="21"/>
          <w:highlight w:val="none"/>
        </w:rPr>
        <w:t>)</w:t>
      </w:r>
      <w:r>
        <w:rPr>
          <w:rFonts w:hint="eastAsia" w:ascii="宋体" w:hAnsi="宋体"/>
          <w:color w:val="auto"/>
          <w:szCs w:val="21"/>
          <w:highlight w:val="none"/>
        </w:rPr>
        <w:t>。</w:t>
      </w:r>
    </w:p>
    <w:p w14:paraId="1585D8D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color w:val="auto"/>
          <w:sz w:val="21"/>
          <w:szCs w:val="21"/>
          <w:highlight w:val="none"/>
          <w:lang w:val="en-US" w:eastAsia="zh-CN"/>
        </w:rPr>
      </w:pPr>
      <w:r>
        <w:rPr>
          <w:rFonts w:hint="eastAsia" w:ascii="宋体"/>
          <w:b/>
          <w:bCs/>
          <w:color w:val="auto"/>
          <w:sz w:val="21"/>
          <w:szCs w:val="21"/>
          <w:highlight w:val="none"/>
          <w:lang w:val="en-US" w:eastAsia="zh-CN"/>
        </w:rPr>
        <w:t>十一：保证与承诺</w:t>
      </w:r>
    </w:p>
    <w:p w14:paraId="22E3AB7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1、乙</w:t>
      </w:r>
      <w:r>
        <w:rPr>
          <w:rFonts w:hint="eastAsia" w:ascii="宋体" w:hAnsi="宋体"/>
          <w:color w:val="auto"/>
          <w:szCs w:val="21"/>
          <w:highlight w:val="none"/>
        </w:rPr>
        <w:t>方所提供的设备、设备相关软件、技术、设备产品及该设备日后的使用不会对第三方的知识产权造成侵害；</w:t>
      </w:r>
    </w:p>
    <w:p w14:paraId="3A2650F6">
      <w:pPr>
        <w:spacing w:line="400" w:lineRule="exact"/>
        <w:ind w:firstLine="420" w:firstLineChars="200"/>
        <w:rPr>
          <w:rFonts w:hint="default" w:ascii="宋体"/>
          <w:color w:val="auto"/>
          <w:sz w:val="21"/>
          <w:szCs w:val="21"/>
          <w:highlight w:val="none"/>
          <w:lang w:val="en-US" w:eastAsia="zh-CN"/>
        </w:rPr>
      </w:pPr>
      <w:r>
        <w:rPr>
          <w:rFonts w:hint="eastAsia" w:ascii="宋体" w:hAnsi="宋体"/>
          <w:color w:val="auto"/>
          <w:szCs w:val="21"/>
          <w:highlight w:val="none"/>
          <w:lang w:val="en-US" w:eastAsia="zh-CN"/>
        </w:rPr>
        <w:t>2、乙</w:t>
      </w:r>
      <w:r>
        <w:rPr>
          <w:rFonts w:hint="eastAsia" w:ascii="宋体" w:hAnsi="宋体"/>
          <w:color w:val="auto"/>
          <w:szCs w:val="21"/>
          <w:highlight w:val="none"/>
        </w:rPr>
        <w:t>方所提供的设备上未设置抵押、质押、留置等任何权利负担。</w:t>
      </w:r>
    </w:p>
    <w:p w14:paraId="5EB255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rPr>
      </w:pPr>
      <w:r>
        <w:rPr>
          <w:rFonts w:hint="eastAsia" w:ascii="宋体"/>
          <w:b/>
          <w:bCs w:val="0"/>
          <w:color w:val="auto"/>
          <w:sz w:val="21"/>
          <w:szCs w:val="21"/>
          <w:highlight w:val="none"/>
          <w:lang w:val="en-US" w:eastAsia="zh-CN"/>
        </w:rPr>
        <w:t>十二</w:t>
      </w:r>
      <w:r>
        <w:rPr>
          <w:rFonts w:hint="eastAsia" w:ascii="宋体"/>
          <w:b/>
          <w:bCs w:val="0"/>
          <w:color w:val="auto"/>
          <w:sz w:val="21"/>
          <w:szCs w:val="21"/>
          <w:highlight w:val="none"/>
        </w:rPr>
        <w:t>：其他约定事项：</w:t>
      </w:r>
    </w:p>
    <w:p w14:paraId="1D489138">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1、通知和送达条款：通知和送达双方确定，以下联系方式为双方与本合同相关的一切往来文件（包括但不限于订单、通知、协议、函件、发票等)及争议解决时人民法院（或仲裁机构）法律文书的有效送达方式。若各方送达方式发生变更时，变更一方应书面通知对方，对方实际收到变更通知前作出的送达仍有效。</w:t>
      </w:r>
    </w:p>
    <w:p w14:paraId="6F08FFAF">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2、本合同附件、本合同指定的相关文件为本合同不可分割的一部分，与本合同具有相同的法律效力。除非双方另有书面约定，各方的其他文件与本合同约定不一致的，以本合同的约定为准且专用条款优先。</w:t>
      </w:r>
    </w:p>
    <w:p w14:paraId="38685DF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default"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3、附上</w:t>
      </w:r>
      <w:r>
        <w:rPr>
          <w:rFonts w:hint="eastAsia" w:ascii="宋体"/>
          <w:b/>
          <w:bCs w:val="0"/>
          <w:color w:val="auto"/>
          <w:sz w:val="21"/>
          <w:szCs w:val="21"/>
          <w:highlight w:val="none"/>
          <w:lang w:val="en-US" w:eastAsia="zh-CN"/>
        </w:rPr>
        <w:t>履行本合同过程中双方指定对接人员身份和微信号、电话等</w:t>
      </w:r>
    </w:p>
    <w:p w14:paraId="2ADDD0BA">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rPr>
          <w:rFonts w:hint="eastAsia" w:ascii="宋体"/>
          <w:b/>
          <w:bCs w:val="0"/>
          <w:color w:val="auto"/>
          <w:sz w:val="21"/>
          <w:szCs w:val="21"/>
          <w:highlight w:val="none"/>
          <w:lang w:val="en-US" w:eastAsia="zh-CN"/>
        </w:rPr>
      </w:pPr>
      <w:r>
        <w:rPr>
          <w:rFonts w:hint="eastAsia" w:ascii="宋体"/>
          <w:b/>
          <w:bCs w:val="0"/>
          <w:color w:val="auto"/>
          <w:sz w:val="21"/>
          <w:szCs w:val="21"/>
          <w:highlight w:val="none"/>
          <w:lang w:val="en-US" w:eastAsia="zh-CN"/>
        </w:rPr>
        <w:t>十三：生效条款：</w:t>
      </w:r>
    </w:p>
    <w:p w14:paraId="6CE63C3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hint="eastAsia" w:ascii="宋体"/>
          <w:b w:val="0"/>
          <w:bCs/>
          <w:color w:val="auto"/>
          <w:sz w:val="21"/>
          <w:szCs w:val="21"/>
          <w:highlight w:val="none"/>
          <w:lang w:val="en-US" w:eastAsia="zh-CN"/>
        </w:rPr>
      </w:pPr>
      <w:r>
        <w:rPr>
          <w:rFonts w:hint="eastAsia" w:ascii="宋体"/>
          <w:b w:val="0"/>
          <w:bCs/>
          <w:color w:val="auto"/>
          <w:sz w:val="21"/>
          <w:szCs w:val="21"/>
          <w:highlight w:val="none"/>
          <w:lang w:val="en-US" w:eastAsia="zh-CN"/>
        </w:rPr>
        <w:t>本合同自双方签字或盖章之日起生效。本合同一式肆份，双方各执贰份，具有同等法律效力，供货结束并结清货款后自动终止。</w:t>
      </w:r>
    </w:p>
    <w:p w14:paraId="6C53901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10" w:firstLineChars="100"/>
        <w:textAlignment w:val="auto"/>
        <w:rPr>
          <w:rFonts w:hint="eastAsia" w:ascii="宋体"/>
          <w:b w:val="0"/>
          <w:bCs/>
          <w:color w:val="auto"/>
          <w:sz w:val="21"/>
          <w:szCs w:val="21"/>
          <w:highlight w:val="none"/>
          <w:lang w:val="en-US" w:eastAsia="zh-CN"/>
        </w:rPr>
      </w:pPr>
    </w:p>
    <w:p w14:paraId="1D55C44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70AD2236">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251" w:firstLineChars="100"/>
        <w:jc w:val="center"/>
        <w:textAlignment w:val="auto"/>
        <w:rPr>
          <w:rFonts w:hint="eastAsia" w:cs="Times New Roman" w:asciiTheme="minorEastAsia" w:hAnsiTheme="minorEastAsia" w:eastAsiaTheme="minorEastAsia"/>
          <w:b/>
          <w:color w:val="auto"/>
          <w:kern w:val="2"/>
          <w:sz w:val="25"/>
          <w:szCs w:val="25"/>
          <w:highlight w:val="none"/>
          <w:lang w:eastAsia="zh-CN"/>
        </w:rPr>
      </w:pPr>
    </w:p>
    <w:p w14:paraId="44258382">
      <w:pPr>
        <w:rPr>
          <w:rFonts w:hint="eastAsia" w:cs="Times New Roman" w:asciiTheme="minorEastAsia" w:hAnsiTheme="minorEastAsia" w:eastAsiaTheme="minorEastAsia"/>
          <w:b/>
          <w:color w:val="auto"/>
          <w:kern w:val="2"/>
          <w:sz w:val="32"/>
          <w:szCs w:val="32"/>
          <w:highlight w:val="none"/>
          <w:lang w:eastAsia="zh-CN"/>
        </w:rPr>
      </w:pPr>
    </w:p>
    <w:p w14:paraId="4F7D275B">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rPr>
          <w:rFonts w:hint="eastAsia" w:cs="Times New Roman" w:asciiTheme="minorEastAsia" w:hAnsiTheme="minorEastAsia" w:eastAsiaTheme="minorEastAsia"/>
          <w:b/>
          <w:color w:val="auto"/>
          <w:kern w:val="2"/>
          <w:sz w:val="32"/>
          <w:szCs w:val="32"/>
          <w:highlight w:val="none"/>
          <w:lang w:eastAsia="zh-CN"/>
        </w:rPr>
      </w:pPr>
    </w:p>
    <w:p w14:paraId="28BF62A3">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both"/>
        <w:textAlignment w:val="auto"/>
        <w:rPr>
          <w:rFonts w:hint="eastAsia" w:cs="Times New Roman" w:asciiTheme="minorEastAsia" w:hAnsiTheme="minorEastAsia" w:eastAsiaTheme="minorEastAsia"/>
          <w:b/>
          <w:color w:val="auto"/>
          <w:kern w:val="2"/>
          <w:sz w:val="32"/>
          <w:szCs w:val="32"/>
          <w:highlight w:val="none"/>
          <w:lang w:eastAsia="zh-CN"/>
        </w:rPr>
      </w:pPr>
    </w:p>
    <w:p w14:paraId="12E5FEEA">
      <w:pPr>
        <w:pStyle w:val="2"/>
        <w:rPr>
          <w:rFonts w:hint="eastAsia" w:cs="Times New Roman" w:asciiTheme="minorEastAsia" w:hAnsiTheme="minorEastAsia" w:eastAsiaTheme="minorEastAsia"/>
          <w:b/>
          <w:color w:val="auto"/>
          <w:kern w:val="2"/>
          <w:sz w:val="32"/>
          <w:szCs w:val="32"/>
          <w:highlight w:val="none"/>
          <w:lang w:eastAsia="zh-CN"/>
        </w:rPr>
      </w:pPr>
    </w:p>
    <w:p w14:paraId="611BFBE1">
      <w:pPr>
        <w:pStyle w:val="2"/>
        <w:rPr>
          <w:rFonts w:hint="eastAsia" w:cs="Times New Roman" w:asciiTheme="minorEastAsia" w:hAnsiTheme="minorEastAsia" w:eastAsiaTheme="minorEastAsia"/>
          <w:b/>
          <w:color w:val="auto"/>
          <w:kern w:val="2"/>
          <w:sz w:val="32"/>
          <w:szCs w:val="32"/>
          <w:highlight w:val="none"/>
          <w:lang w:eastAsia="zh-CN"/>
        </w:rPr>
      </w:pPr>
    </w:p>
    <w:p w14:paraId="39431E29">
      <w:pPr>
        <w:pStyle w:val="2"/>
        <w:rPr>
          <w:rFonts w:hint="eastAsia" w:cs="Times New Roman" w:asciiTheme="minorEastAsia" w:hAnsiTheme="minorEastAsia" w:eastAsiaTheme="minorEastAsia"/>
          <w:b/>
          <w:color w:val="auto"/>
          <w:kern w:val="2"/>
          <w:sz w:val="32"/>
          <w:szCs w:val="32"/>
          <w:highlight w:val="none"/>
          <w:lang w:eastAsia="zh-CN"/>
        </w:rPr>
      </w:pPr>
    </w:p>
    <w:p w14:paraId="3832B205">
      <w:pPr>
        <w:pStyle w:val="2"/>
        <w:rPr>
          <w:rFonts w:hint="eastAsia" w:cs="Times New Roman" w:asciiTheme="minorEastAsia" w:hAnsiTheme="minorEastAsia" w:eastAsiaTheme="minorEastAsia"/>
          <w:b/>
          <w:color w:val="auto"/>
          <w:kern w:val="2"/>
          <w:sz w:val="32"/>
          <w:szCs w:val="32"/>
          <w:highlight w:val="none"/>
          <w:lang w:eastAsia="zh-CN"/>
        </w:rPr>
      </w:pPr>
    </w:p>
    <w:p w14:paraId="37E4C276">
      <w:pPr>
        <w:pStyle w:val="2"/>
        <w:rPr>
          <w:rFonts w:hint="eastAsia" w:cs="Times New Roman" w:asciiTheme="minorEastAsia" w:hAnsiTheme="minorEastAsia" w:eastAsiaTheme="minorEastAsia"/>
          <w:b/>
          <w:color w:val="auto"/>
          <w:kern w:val="2"/>
          <w:sz w:val="32"/>
          <w:szCs w:val="32"/>
          <w:highlight w:val="none"/>
          <w:lang w:eastAsia="zh-CN"/>
        </w:rPr>
      </w:pPr>
    </w:p>
    <w:p w14:paraId="6435C5D3">
      <w:pPr>
        <w:pStyle w:val="2"/>
        <w:rPr>
          <w:rFonts w:hint="eastAsia" w:cs="Times New Roman" w:asciiTheme="minorEastAsia" w:hAnsiTheme="minorEastAsia" w:eastAsiaTheme="minorEastAsia"/>
          <w:b/>
          <w:color w:val="auto"/>
          <w:kern w:val="2"/>
          <w:sz w:val="32"/>
          <w:szCs w:val="32"/>
          <w:highlight w:val="none"/>
          <w:lang w:eastAsia="zh-CN"/>
        </w:rPr>
      </w:pPr>
    </w:p>
    <w:p w14:paraId="6C29656B">
      <w:pPr>
        <w:pStyle w:val="2"/>
        <w:rPr>
          <w:rFonts w:hint="eastAsia" w:cs="Times New Roman" w:asciiTheme="minorEastAsia" w:hAnsiTheme="minorEastAsia" w:eastAsiaTheme="minorEastAsia"/>
          <w:b/>
          <w:color w:val="auto"/>
          <w:kern w:val="2"/>
          <w:sz w:val="32"/>
          <w:szCs w:val="32"/>
          <w:highlight w:val="none"/>
          <w:lang w:eastAsia="zh-CN"/>
        </w:rPr>
      </w:pPr>
    </w:p>
    <w:p w14:paraId="1FC891E2">
      <w:pPr>
        <w:pStyle w:val="2"/>
        <w:rPr>
          <w:rFonts w:hint="eastAsia" w:cs="Times New Roman" w:asciiTheme="minorEastAsia" w:hAnsiTheme="minorEastAsia" w:eastAsiaTheme="minorEastAsia"/>
          <w:b/>
          <w:color w:val="auto"/>
          <w:kern w:val="2"/>
          <w:sz w:val="32"/>
          <w:szCs w:val="32"/>
          <w:highlight w:val="none"/>
          <w:lang w:eastAsia="zh-CN"/>
        </w:rPr>
      </w:pPr>
    </w:p>
    <w:p w14:paraId="61D4FF53">
      <w:pPr>
        <w:pStyle w:val="2"/>
        <w:rPr>
          <w:rFonts w:hint="eastAsia" w:cs="Times New Roman" w:asciiTheme="minorEastAsia" w:hAnsiTheme="minorEastAsia" w:eastAsiaTheme="minorEastAsia"/>
          <w:b/>
          <w:color w:val="auto"/>
          <w:kern w:val="2"/>
          <w:sz w:val="32"/>
          <w:szCs w:val="32"/>
          <w:highlight w:val="none"/>
          <w:lang w:eastAsia="zh-CN"/>
        </w:rPr>
      </w:pPr>
    </w:p>
    <w:p w14:paraId="1858BBCE">
      <w:pPr>
        <w:pStyle w:val="2"/>
        <w:rPr>
          <w:rFonts w:hint="eastAsia" w:cs="Times New Roman" w:asciiTheme="minorEastAsia" w:hAnsiTheme="minorEastAsia" w:eastAsiaTheme="minorEastAsia"/>
          <w:b/>
          <w:color w:val="auto"/>
          <w:kern w:val="2"/>
          <w:sz w:val="32"/>
          <w:szCs w:val="32"/>
          <w:highlight w:val="none"/>
          <w:lang w:eastAsia="zh-CN"/>
        </w:rPr>
      </w:pPr>
    </w:p>
    <w:p w14:paraId="02512A27">
      <w:pPr>
        <w:pStyle w:val="2"/>
        <w:rPr>
          <w:rFonts w:hint="eastAsia" w:cs="Times New Roman" w:asciiTheme="minorEastAsia" w:hAnsiTheme="minorEastAsia" w:eastAsiaTheme="minorEastAsia"/>
          <w:b/>
          <w:color w:val="auto"/>
          <w:kern w:val="2"/>
          <w:sz w:val="32"/>
          <w:szCs w:val="32"/>
          <w:highlight w:val="none"/>
          <w:lang w:eastAsia="zh-CN"/>
        </w:rPr>
      </w:pPr>
    </w:p>
    <w:p w14:paraId="4D457D4A">
      <w:pPr>
        <w:pStyle w:val="2"/>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3F4BCF29">
      <w:pPr>
        <w:pStyle w:val="2"/>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4EA42CDF">
      <w:pPr>
        <w:pStyle w:val="2"/>
        <w:ind w:left="0" w:leftChars="0" w:firstLine="0" w:firstLineChars="0"/>
        <w:rPr>
          <w:rFonts w:hint="eastAsia" w:cs="Times New Roman" w:asciiTheme="minorEastAsia" w:hAnsiTheme="minorEastAsia" w:eastAsiaTheme="minorEastAsia"/>
          <w:b/>
          <w:color w:val="auto"/>
          <w:kern w:val="2"/>
          <w:sz w:val="32"/>
          <w:szCs w:val="32"/>
          <w:highlight w:val="none"/>
          <w:lang w:eastAsia="zh-CN"/>
        </w:rPr>
      </w:pPr>
    </w:p>
    <w:p w14:paraId="2EC75E4D">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643" w:firstLineChars="200"/>
        <w:jc w:val="center"/>
        <w:textAlignment w:val="auto"/>
        <w:rPr>
          <w:rFonts w:hint="eastAsia" w:cs="Times New Roman" w:asciiTheme="minorEastAsia" w:hAnsiTheme="minorEastAsia" w:eastAsiaTheme="minorEastAsia"/>
          <w:b/>
          <w:color w:val="auto"/>
          <w:kern w:val="2"/>
          <w:sz w:val="32"/>
          <w:szCs w:val="32"/>
          <w:highlight w:val="none"/>
          <w:lang w:eastAsia="zh-CN"/>
        </w:rPr>
      </w:pPr>
      <w:r>
        <w:rPr>
          <w:rFonts w:hint="eastAsia" w:cs="Times New Roman" w:asciiTheme="minorEastAsia" w:hAnsiTheme="minorEastAsia" w:eastAsiaTheme="minorEastAsia"/>
          <w:b/>
          <w:color w:val="auto"/>
          <w:kern w:val="2"/>
          <w:sz w:val="32"/>
          <w:szCs w:val="32"/>
          <w:highlight w:val="none"/>
          <w:lang w:eastAsia="zh-CN"/>
        </w:rPr>
        <w:t>合同通用条款</w:t>
      </w:r>
    </w:p>
    <w:p w14:paraId="3432FEC4">
      <w:pPr>
        <w:spacing w:before="120" w:after="0" w:line="360" w:lineRule="exact"/>
        <w:jc w:val="both"/>
        <w:rPr>
          <w:rFonts w:ascii="宋体" w:hAnsi="宋体" w:cs="Times New Roman"/>
          <w:b/>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一、</w:t>
      </w:r>
      <w:r>
        <w:rPr>
          <w:rFonts w:hint="eastAsia" w:ascii="宋体" w:hAnsi="宋体" w:cs="Times New Roman"/>
          <w:b/>
          <w:color w:val="auto"/>
          <w:kern w:val="2"/>
          <w:sz w:val="21"/>
          <w:szCs w:val="21"/>
          <w:highlight w:val="none"/>
          <w:u w:val="none"/>
          <w:lang w:eastAsia="zh-CN"/>
        </w:rPr>
        <w:t>乙方承诺</w:t>
      </w:r>
    </w:p>
    <w:p w14:paraId="27DCE7B0">
      <w:pPr>
        <w:pStyle w:val="21"/>
        <w:numPr>
          <w:ilvl w:val="0"/>
          <w:numId w:val="0"/>
        </w:numPr>
        <w:spacing w:before="120" w:line="360" w:lineRule="exact"/>
        <w:ind w:left="66" w:leftChars="0" w:firstLine="420" w:firstLineChars="200"/>
        <w:rPr>
          <w:rFonts w:ascii="宋体" w:hAnsi="宋体"/>
          <w:b/>
          <w:color w:val="auto"/>
          <w:szCs w:val="21"/>
          <w:highlight w:val="none"/>
          <w:u w:val="singl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甲方</w:t>
      </w:r>
      <w:r>
        <w:rPr>
          <w:rFonts w:hint="eastAsia" w:ascii="宋体" w:hAnsi="宋体"/>
          <w:color w:val="auto"/>
          <w:szCs w:val="21"/>
          <w:highlight w:val="none"/>
        </w:rPr>
        <w:t>依据本合同条款向</w:t>
      </w:r>
      <w:r>
        <w:rPr>
          <w:rFonts w:hint="eastAsia" w:ascii="宋体" w:hAnsi="宋体"/>
          <w:color w:val="auto"/>
          <w:szCs w:val="21"/>
          <w:highlight w:val="none"/>
          <w:lang w:eastAsia="zh-CN"/>
        </w:rPr>
        <w:t>乙方</w:t>
      </w:r>
      <w:r>
        <w:rPr>
          <w:rFonts w:hint="eastAsia" w:ascii="宋体" w:hAnsi="宋体"/>
          <w:color w:val="auto"/>
          <w:szCs w:val="21"/>
          <w:highlight w:val="none"/>
        </w:rPr>
        <w:t>进行产品采购，</w:t>
      </w:r>
      <w:r>
        <w:rPr>
          <w:rFonts w:hint="eastAsia" w:ascii="宋体" w:hAnsi="宋体"/>
          <w:color w:val="auto"/>
          <w:szCs w:val="21"/>
          <w:highlight w:val="none"/>
          <w:lang w:eastAsia="zh-CN"/>
        </w:rPr>
        <w:t>乙方</w:t>
      </w:r>
      <w:r>
        <w:rPr>
          <w:rFonts w:hint="eastAsia" w:ascii="宋体" w:hAnsi="宋体"/>
          <w:color w:val="auto"/>
          <w:szCs w:val="21"/>
          <w:highlight w:val="none"/>
        </w:rPr>
        <w:t>同意依据本</w:t>
      </w:r>
      <w:r>
        <w:rPr>
          <w:rFonts w:ascii="宋体" w:hAnsi="宋体"/>
          <w:color w:val="auto"/>
          <w:szCs w:val="21"/>
          <w:highlight w:val="none"/>
        </w:rPr>
        <w:t>合同的约定</w:t>
      </w:r>
      <w:r>
        <w:rPr>
          <w:rFonts w:hint="eastAsia" w:ascii="宋体" w:hAnsi="宋体"/>
          <w:color w:val="auto"/>
          <w:szCs w:val="21"/>
          <w:highlight w:val="none"/>
        </w:rPr>
        <w:t>向</w:t>
      </w:r>
      <w:r>
        <w:rPr>
          <w:rFonts w:hint="eastAsia" w:ascii="宋体" w:hAnsi="宋体"/>
          <w:color w:val="auto"/>
          <w:szCs w:val="21"/>
          <w:highlight w:val="none"/>
          <w:lang w:eastAsia="zh-CN"/>
        </w:rPr>
        <w:t>甲方</w:t>
      </w:r>
      <w:r>
        <w:rPr>
          <w:rFonts w:ascii="宋体" w:hAnsi="宋体"/>
          <w:color w:val="auto"/>
          <w:szCs w:val="21"/>
          <w:highlight w:val="none"/>
        </w:rPr>
        <w:t>销售</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w:t>
      </w:r>
    </w:p>
    <w:p w14:paraId="05D6E9C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乙方</w:t>
      </w:r>
      <w:r>
        <w:rPr>
          <w:rFonts w:hint="eastAsia" w:ascii="宋体" w:hAnsi="宋体"/>
          <w:color w:val="auto"/>
          <w:szCs w:val="21"/>
          <w:highlight w:val="none"/>
        </w:rPr>
        <w:t>理解并同意，在适用的管辖范围内已被合法授权从事经营并将应</w:t>
      </w:r>
      <w:r>
        <w:rPr>
          <w:rFonts w:hint="eastAsia" w:ascii="宋体" w:hAnsi="宋体"/>
          <w:color w:val="auto"/>
          <w:szCs w:val="21"/>
          <w:highlight w:val="none"/>
          <w:lang w:eastAsia="zh-CN"/>
        </w:rPr>
        <w:t>甲方</w:t>
      </w:r>
      <w:r>
        <w:rPr>
          <w:rFonts w:hint="eastAsia" w:ascii="宋体" w:hAnsi="宋体"/>
          <w:color w:val="auto"/>
          <w:szCs w:val="21"/>
          <w:highlight w:val="none"/>
        </w:rPr>
        <w:t>要求提供相</w:t>
      </w:r>
      <w:r>
        <w:rPr>
          <w:rFonts w:ascii="宋体" w:hAnsi="宋体"/>
          <w:color w:val="auto"/>
          <w:szCs w:val="21"/>
          <w:highlight w:val="none"/>
        </w:rPr>
        <w:t>关的</w:t>
      </w:r>
      <w:r>
        <w:rPr>
          <w:rFonts w:hint="eastAsia" w:ascii="宋体" w:hAnsi="宋体"/>
          <w:color w:val="auto"/>
          <w:szCs w:val="21"/>
          <w:highlight w:val="none"/>
        </w:rPr>
        <w:t>授权证明。如在任何时间，该等授权证明失效或未续授权，</w:t>
      </w:r>
      <w:r>
        <w:rPr>
          <w:rFonts w:hint="eastAsia" w:ascii="宋体" w:hAnsi="宋体"/>
          <w:color w:val="auto"/>
          <w:szCs w:val="21"/>
          <w:highlight w:val="none"/>
          <w:lang w:eastAsia="zh-CN"/>
        </w:rPr>
        <w:t>乙方</w:t>
      </w:r>
      <w:r>
        <w:rPr>
          <w:rFonts w:ascii="宋体" w:hAnsi="宋体"/>
          <w:color w:val="auto"/>
          <w:szCs w:val="21"/>
          <w:highlight w:val="none"/>
        </w:rPr>
        <w:t>应在</w:t>
      </w:r>
      <w:r>
        <w:rPr>
          <w:rFonts w:hint="eastAsia" w:ascii="宋体" w:hAnsi="宋体"/>
          <w:color w:val="auto"/>
          <w:szCs w:val="21"/>
          <w:highlight w:val="none"/>
          <w:lang w:eastAsia="zh-CN"/>
        </w:rPr>
        <w:t>甲方</w:t>
      </w:r>
      <w:r>
        <w:rPr>
          <w:rFonts w:ascii="宋体" w:hAnsi="宋体"/>
          <w:color w:val="auto"/>
          <w:szCs w:val="21"/>
          <w:highlight w:val="none"/>
        </w:rPr>
        <w:t>要求的时间内重新取得合法的授权证明，否则</w:t>
      </w:r>
      <w:r>
        <w:rPr>
          <w:rFonts w:hint="eastAsia" w:ascii="宋体" w:hAnsi="宋体"/>
          <w:color w:val="auto"/>
          <w:szCs w:val="21"/>
          <w:highlight w:val="none"/>
          <w:lang w:eastAsia="zh-CN"/>
        </w:rPr>
        <w:t>甲方</w:t>
      </w:r>
      <w:r>
        <w:rPr>
          <w:rFonts w:hint="eastAsia" w:ascii="宋体" w:hAnsi="宋体"/>
          <w:color w:val="auto"/>
          <w:szCs w:val="21"/>
          <w:highlight w:val="none"/>
        </w:rPr>
        <w:t>有权自行决定终止本合同而不</w:t>
      </w:r>
      <w:r>
        <w:rPr>
          <w:rFonts w:ascii="宋体" w:hAnsi="宋体"/>
          <w:color w:val="auto"/>
          <w:szCs w:val="21"/>
          <w:highlight w:val="none"/>
        </w:rPr>
        <w:t>视为</w:t>
      </w:r>
      <w:r>
        <w:rPr>
          <w:rFonts w:hint="eastAsia" w:ascii="宋体" w:hAnsi="宋体"/>
          <w:color w:val="auto"/>
          <w:szCs w:val="21"/>
          <w:highlight w:val="none"/>
          <w:lang w:eastAsia="zh-CN"/>
        </w:rPr>
        <w:t>甲方</w:t>
      </w:r>
      <w:r>
        <w:rPr>
          <w:rFonts w:ascii="宋体" w:hAnsi="宋体"/>
          <w:color w:val="auto"/>
          <w:szCs w:val="21"/>
          <w:highlight w:val="none"/>
        </w:rPr>
        <w:t>的违约，如</w:t>
      </w:r>
      <w:r>
        <w:rPr>
          <w:rFonts w:hint="eastAsia" w:ascii="宋体" w:hAnsi="宋体"/>
          <w:color w:val="auto"/>
          <w:szCs w:val="21"/>
          <w:highlight w:val="none"/>
        </w:rPr>
        <w:t>因</w:t>
      </w:r>
      <w:r>
        <w:rPr>
          <w:rFonts w:ascii="宋体" w:hAnsi="宋体"/>
          <w:color w:val="auto"/>
          <w:szCs w:val="21"/>
          <w:highlight w:val="none"/>
        </w:rPr>
        <w:t>此给</w:t>
      </w:r>
      <w:r>
        <w:rPr>
          <w:rFonts w:hint="eastAsia" w:ascii="宋体" w:hAnsi="宋体"/>
          <w:color w:val="auto"/>
          <w:szCs w:val="21"/>
          <w:highlight w:val="none"/>
          <w:lang w:eastAsia="zh-CN"/>
        </w:rPr>
        <w:t>甲方</w:t>
      </w:r>
      <w:r>
        <w:rPr>
          <w:rFonts w:ascii="宋体" w:hAnsi="宋体"/>
          <w:color w:val="auto"/>
          <w:szCs w:val="21"/>
          <w:highlight w:val="none"/>
        </w:rPr>
        <w:t>造成损失</w:t>
      </w:r>
      <w:r>
        <w:rPr>
          <w:rFonts w:hint="eastAsia" w:ascii="宋体" w:hAnsi="宋体"/>
          <w:color w:val="auto"/>
          <w:szCs w:val="21"/>
          <w:highlight w:val="none"/>
        </w:rPr>
        <w:t>的</w:t>
      </w:r>
      <w:r>
        <w:rPr>
          <w:rFonts w:ascii="宋体" w:hAnsi="宋体"/>
          <w:color w:val="auto"/>
          <w:szCs w:val="21"/>
          <w:highlight w:val="none"/>
        </w:rPr>
        <w:t>，</w:t>
      </w:r>
      <w:r>
        <w:rPr>
          <w:rFonts w:hint="eastAsia" w:ascii="宋体" w:hAnsi="宋体"/>
          <w:color w:val="auto"/>
          <w:szCs w:val="21"/>
          <w:highlight w:val="none"/>
          <w:lang w:eastAsia="zh-CN"/>
        </w:rPr>
        <w:t>甲方</w:t>
      </w:r>
      <w:r>
        <w:rPr>
          <w:rFonts w:ascii="宋体" w:hAnsi="宋体"/>
          <w:color w:val="auto"/>
          <w:szCs w:val="21"/>
          <w:highlight w:val="none"/>
        </w:rPr>
        <w:t>还有权要求</w:t>
      </w:r>
      <w:r>
        <w:rPr>
          <w:rFonts w:hint="eastAsia" w:ascii="宋体" w:hAnsi="宋体"/>
          <w:color w:val="auto"/>
          <w:szCs w:val="21"/>
          <w:highlight w:val="none"/>
          <w:lang w:eastAsia="zh-CN"/>
        </w:rPr>
        <w:t>乙方</w:t>
      </w:r>
      <w:r>
        <w:rPr>
          <w:rFonts w:ascii="宋体" w:hAnsi="宋体"/>
          <w:color w:val="auto"/>
          <w:szCs w:val="21"/>
          <w:highlight w:val="none"/>
        </w:rPr>
        <w:t>赔偿</w:t>
      </w:r>
      <w:r>
        <w:rPr>
          <w:rFonts w:hint="eastAsia" w:ascii="宋体" w:hAnsi="宋体"/>
          <w:color w:val="auto"/>
          <w:szCs w:val="21"/>
          <w:highlight w:val="none"/>
        </w:rPr>
        <w:t>该</w:t>
      </w:r>
      <w:r>
        <w:rPr>
          <w:rFonts w:ascii="宋体" w:hAnsi="宋体"/>
          <w:color w:val="auto"/>
          <w:szCs w:val="21"/>
          <w:highlight w:val="none"/>
        </w:rPr>
        <w:t>等损失</w:t>
      </w:r>
      <w:r>
        <w:rPr>
          <w:rFonts w:hint="eastAsia" w:ascii="宋体" w:hAnsi="宋体"/>
          <w:color w:val="auto"/>
          <w:szCs w:val="21"/>
          <w:highlight w:val="none"/>
        </w:rPr>
        <w:t>。</w:t>
      </w:r>
    </w:p>
    <w:p w14:paraId="51A7F26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olor w:val="auto"/>
          <w:szCs w:val="21"/>
          <w:highlight w:val="none"/>
        </w:rPr>
        <w:t>应自行承担成本和费用确保产品和服务人员在履行本合同项下服务之前有适当的健康、安全以及其它方面的妥善安排。</w:t>
      </w:r>
    </w:p>
    <w:p w14:paraId="5E2FB09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未获得</w:t>
      </w:r>
      <w:r>
        <w:rPr>
          <w:rFonts w:hint="eastAsia" w:ascii="宋体" w:hAnsi="宋体"/>
          <w:color w:val="auto"/>
          <w:szCs w:val="21"/>
          <w:highlight w:val="none"/>
          <w:lang w:eastAsia="zh-CN"/>
        </w:rPr>
        <w:t>甲方</w:t>
      </w:r>
      <w:r>
        <w:rPr>
          <w:rFonts w:hint="eastAsia" w:ascii="宋体" w:hAnsi="宋体"/>
          <w:color w:val="auto"/>
          <w:szCs w:val="21"/>
          <w:highlight w:val="none"/>
        </w:rPr>
        <w:t>的书面同意，</w:t>
      </w:r>
      <w:r>
        <w:rPr>
          <w:rFonts w:hint="eastAsia" w:ascii="宋体" w:hAnsi="宋体"/>
          <w:color w:val="auto"/>
          <w:szCs w:val="21"/>
          <w:highlight w:val="none"/>
          <w:lang w:eastAsia="zh-CN"/>
        </w:rPr>
        <w:t>乙方</w:t>
      </w:r>
      <w:r>
        <w:rPr>
          <w:rFonts w:hint="eastAsia" w:ascii="宋体" w:hAnsi="宋体"/>
          <w:color w:val="auto"/>
          <w:szCs w:val="21"/>
          <w:highlight w:val="none"/>
        </w:rPr>
        <w:t>不得向第三方发布或披露与本合同有关的任何细节。</w:t>
      </w:r>
    </w:p>
    <w:p w14:paraId="4BA111D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hint="eastAsia" w:ascii="宋体" w:hAnsi="宋体"/>
          <w:color w:val="auto"/>
          <w:szCs w:val="21"/>
          <w:highlight w:val="none"/>
        </w:rPr>
        <w:t>在此承诺将提供良好并具竞争力的服务，以满足</w:t>
      </w:r>
      <w:r>
        <w:rPr>
          <w:rFonts w:hint="eastAsia" w:ascii="宋体" w:hAnsi="宋体"/>
          <w:color w:val="auto"/>
          <w:szCs w:val="21"/>
          <w:highlight w:val="none"/>
          <w:lang w:eastAsia="zh-CN"/>
        </w:rPr>
        <w:t>甲方</w:t>
      </w:r>
      <w:r>
        <w:rPr>
          <w:rFonts w:hint="eastAsia" w:ascii="宋体" w:hAnsi="宋体"/>
          <w:color w:val="auto"/>
          <w:szCs w:val="21"/>
          <w:highlight w:val="none"/>
        </w:rPr>
        <w:t>的需要。</w:t>
      </w:r>
    </w:p>
    <w:p w14:paraId="3FA48A84">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乙方</w:t>
      </w:r>
      <w:r>
        <w:rPr>
          <w:rFonts w:hint="eastAsia" w:ascii="宋体" w:hAnsi="宋体"/>
          <w:color w:val="auto"/>
          <w:szCs w:val="21"/>
          <w:highlight w:val="none"/>
        </w:rPr>
        <w:t>承诺并保证不制造、不经销任何假冒或者仿冒</w:t>
      </w:r>
      <w:r>
        <w:rPr>
          <w:rFonts w:hint="eastAsia" w:ascii="宋体" w:hAnsi="宋体"/>
          <w:color w:val="auto"/>
          <w:szCs w:val="21"/>
          <w:highlight w:val="none"/>
          <w:lang w:eastAsia="zh-CN"/>
        </w:rPr>
        <w:t>甲方</w:t>
      </w:r>
      <w:r>
        <w:rPr>
          <w:rFonts w:hint="eastAsia" w:ascii="宋体" w:hAnsi="宋体"/>
          <w:color w:val="auto"/>
          <w:szCs w:val="21"/>
          <w:highlight w:val="none"/>
        </w:rPr>
        <w:t>公司商标（图形或</w:t>
      </w:r>
      <w:r>
        <w:rPr>
          <w:rFonts w:ascii="宋体" w:hAnsi="宋体"/>
          <w:color w:val="auto"/>
          <w:szCs w:val="21"/>
          <w:highlight w:val="none"/>
        </w:rPr>
        <w:t>/和文字）与本协议产品相同、相似或相近的侵犯</w:t>
      </w:r>
      <w:r>
        <w:rPr>
          <w:rFonts w:hint="eastAsia" w:ascii="宋体" w:hAnsi="宋体"/>
          <w:color w:val="auto"/>
          <w:szCs w:val="21"/>
          <w:highlight w:val="none"/>
          <w:lang w:eastAsia="zh-CN"/>
        </w:rPr>
        <w:t>甲方</w:t>
      </w:r>
      <w:r>
        <w:rPr>
          <w:rFonts w:hint="eastAsia" w:ascii="宋体" w:hAnsi="宋体"/>
          <w:color w:val="auto"/>
          <w:szCs w:val="21"/>
          <w:highlight w:val="none"/>
        </w:rPr>
        <w:t>知识产权的产品。</w:t>
      </w:r>
      <w:r>
        <w:rPr>
          <w:rFonts w:hint="eastAsia" w:ascii="宋体" w:hAnsi="宋体"/>
          <w:color w:val="auto"/>
          <w:szCs w:val="21"/>
          <w:highlight w:val="none"/>
          <w:lang w:eastAsia="zh-CN"/>
        </w:rPr>
        <w:t>甲方</w:t>
      </w:r>
      <w:r>
        <w:rPr>
          <w:rFonts w:hint="eastAsia" w:ascii="宋体" w:hAnsi="宋体"/>
          <w:color w:val="auto"/>
          <w:szCs w:val="21"/>
          <w:highlight w:val="none"/>
        </w:rPr>
        <w:t>可就该等假冒、仿冒、违法销售等行为追究</w:t>
      </w:r>
      <w:r>
        <w:rPr>
          <w:rFonts w:hint="eastAsia" w:ascii="宋体" w:hAnsi="宋体"/>
          <w:color w:val="auto"/>
          <w:szCs w:val="21"/>
          <w:highlight w:val="none"/>
          <w:lang w:eastAsia="zh-CN"/>
        </w:rPr>
        <w:t>乙方</w:t>
      </w:r>
      <w:r>
        <w:rPr>
          <w:rFonts w:hint="eastAsia" w:ascii="宋体" w:hAnsi="宋体"/>
          <w:color w:val="auto"/>
          <w:szCs w:val="21"/>
          <w:highlight w:val="none"/>
        </w:rPr>
        <w:t>法律责</w:t>
      </w:r>
      <w:r>
        <w:rPr>
          <w:rFonts w:hint="eastAsia" w:ascii="宋体" w:hAnsi="宋体"/>
          <w:color w:val="auto"/>
          <w:szCs w:val="21"/>
          <w:highlight w:val="none"/>
          <w:lang w:val="en-US" w:eastAsia="zh-CN"/>
        </w:rPr>
        <w:t>任。</w:t>
      </w:r>
    </w:p>
    <w:p w14:paraId="2F37453B">
      <w:pPr>
        <w:pStyle w:val="2"/>
        <w:rPr>
          <w:rFonts w:hint="eastAsia" w:ascii="宋体" w:hAnsi="宋体"/>
          <w:color w:val="auto"/>
          <w:szCs w:val="21"/>
          <w:highlight w:val="none"/>
          <w:lang w:val="en-US" w:eastAsia="zh-CN"/>
        </w:rPr>
      </w:pPr>
    </w:p>
    <w:p w14:paraId="3DC937CE">
      <w:pPr>
        <w:pStyle w:val="2"/>
        <w:rPr>
          <w:rFonts w:hint="eastAsia" w:ascii="宋体" w:hAnsi="宋体"/>
          <w:color w:val="auto"/>
          <w:szCs w:val="21"/>
          <w:highlight w:val="none"/>
          <w:lang w:val="en-US" w:eastAsia="zh-CN"/>
        </w:rPr>
      </w:pPr>
    </w:p>
    <w:p w14:paraId="50C7FCB2">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color w:val="auto"/>
          <w:kern w:val="2"/>
          <w:sz w:val="21"/>
          <w:szCs w:val="21"/>
          <w:highlight w:val="none"/>
          <w:lang w:eastAsia="zh-CN"/>
        </w:rPr>
        <w:t>二、</w:t>
      </w:r>
      <w:r>
        <w:rPr>
          <w:rFonts w:hint="eastAsia" w:ascii="宋体" w:hAnsi="宋体" w:cs="Times New Roman"/>
          <w:b/>
          <w:color w:val="auto"/>
          <w:kern w:val="2"/>
          <w:sz w:val="21"/>
          <w:szCs w:val="21"/>
          <w:highlight w:val="none"/>
          <w:u w:val="none"/>
          <w:lang w:eastAsia="zh-CN"/>
        </w:rPr>
        <w:t>价格</w:t>
      </w:r>
    </w:p>
    <w:p w14:paraId="504DE25B">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本合同专用条款约定的标的价格包含</w:t>
      </w:r>
      <w:r>
        <w:rPr>
          <w:rFonts w:hint="eastAsia" w:ascii="宋体" w:hAnsi="宋体"/>
          <w:color w:val="auto"/>
          <w:szCs w:val="21"/>
          <w:highlight w:val="none"/>
          <w:lang w:eastAsia="zh-CN"/>
        </w:rPr>
        <w:t>乙方</w:t>
      </w:r>
      <w:r>
        <w:rPr>
          <w:rFonts w:hint="eastAsia" w:ascii="宋体" w:hAnsi="宋体"/>
          <w:color w:val="auto"/>
          <w:szCs w:val="21"/>
          <w:highlight w:val="none"/>
        </w:rPr>
        <w:t>将合同产品送至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指定的交货地点并交付给</w:t>
      </w:r>
      <w:r>
        <w:rPr>
          <w:rFonts w:hint="eastAsia" w:ascii="宋体" w:hAnsi="宋体"/>
          <w:color w:val="auto"/>
          <w:szCs w:val="21"/>
          <w:highlight w:val="none"/>
          <w:lang w:eastAsia="zh-CN"/>
        </w:rPr>
        <w:t>甲方</w:t>
      </w:r>
      <w:r>
        <w:rPr>
          <w:rFonts w:hint="eastAsia" w:ascii="宋体" w:hAnsi="宋体"/>
          <w:color w:val="auto"/>
          <w:szCs w:val="21"/>
          <w:highlight w:val="none"/>
        </w:rPr>
        <w:t>之前的所有费用（包括但不限于成本及利润、税金、包装费、运输费、保险费、仓储费、损耗费、劳务费、工人工资等）和后续费用（包括但不限于后续的合同产品验收、合同产品的安装、调试、移交、试运行、初验及终验、属于质保范围的保修和维修、技术服务）及政府机构征收的一切税费。</w:t>
      </w:r>
    </w:p>
    <w:p w14:paraId="2C598A8C">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合同产品正常运转所必须的部件、构件、附件和配件即便未单独或整体列入本合同条款或附件清单中，也均应被视为包括在本合同及本合同总价中。</w:t>
      </w:r>
    </w:p>
    <w:p w14:paraId="4E8F2AE4">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除另有约定之情况下，</w:t>
      </w:r>
      <w:r>
        <w:rPr>
          <w:rFonts w:hint="eastAsia" w:ascii="宋体" w:hAnsi="宋体"/>
          <w:color w:val="auto"/>
          <w:szCs w:val="21"/>
          <w:highlight w:val="none"/>
          <w:lang w:eastAsia="zh-CN"/>
        </w:rPr>
        <w:t>乙方</w:t>
      </w:r>
      <w:r>
        <w:rPr>
          <w:rFonts w:hint="eastAsia" w:ascii="宋体" w:hAnsi="宋体"/>
          <w:color w:val="auto"/>
          <w:szCs w:val="21"/>
          <w:highlight w:val="none"/>
        </w:rPr>
        <w:t>于本合同项下履行约定义务过程中，所有不可或缺的附带工作所产生的费用，不论该等工作是否在本合同文件中予以说明，亦不论是否已在双方签订合同时予以预见均已被包含在总价中。</w:t>
      </w:r>
    </w:p>
    <w:p w14:paraId="1468E67A">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val="de-DE" w:eastAsia="zh-CN"/>
        </w:rPr>
        <w:t>乙方</w:t>
      </w:r>
      <w:r>
        <w:rPr>
          <w:rFonts w:hint="eastAsia" w:ascii="宋体" w:hAnsi="宋体"/>
          <w:color w:val="auto"/>
          <w:kern w:val="0"/>
          <w:szCs w:val="21"/>
          <w:highlight w:val="none"/>
          <w:lang w:val="de-DE" w:eastAsia="de-DE"/>
        </w:rPr>
        <w:t>承诺在合同生效前后两个月内</w:t>
      </w:r>
      <w:r>
        <w:rPr>
          <w:rFonts w:hint="eastAsia" w:ascii="宋体" w:hAnsi="宋体"/>
          <w:color w:val="auto"/>
          <w:kern w:val="0"/>
          <w:szCs w:val="21"/>
          <w:highlight w:val="none"/>
          <w:lang w:val="de-DE"/>
        </w:rPr>
        <w:t>，</w:t>
      </w:r>
      <w:r>
        <w:rPr>
          <w:rFonts w:hint="eastAsia" w:ascii="宋体" w:hAnsi="宋体"/>
          <w:color w:val="auto"/>
          <w:kern w:val="0"/>
          <w:szCs w:val="21"/>
          <w:highlight w:val="none"/>
          <w:lang w:val="de-DE" w:eastAsia="de-DE"/>
        </w:rPr>
        <w:t>本合同项下产品价格不高于在</w:t>
      </w:r>
      <w:r>
        <w:rPr>
          <w:rFonts w:hint="eastAsia" w:ascii="宋体" w:hAnsi="宋体"/>
          <w:color w:val="auto"/>
          <w:kern w:val="0"/>
          <w:szCs w:val="21"/>
          <w:highlight w:val="none"/>
          <w:lang w:val="de-DE"/>
        </w:rPr>
        <w:t>同等</w:t>
      </w:r>
      <w:r>
        <w:rPr>
          <w:rFonts w:hint="eastAsia" w:ascii="宋体" w:hAnsi="宋体"/>
          <w:color w:val="auto"/>
          <w:kern w:val="0"/>
          <w:szCs w:val="21"/>
          <w:highlight w:val="none"/>
          <w:lang w:val="de-DE" w:eastAsia="de-DE"/>
        </w:rPr>
        <w:t>交易条件下</w:t>
      </w:r>
      <w:r>
        <w:rPr>
          <w:rFonts w:hint="eastAsia" w:ascii="宋体" w:hAnsi="宋体"/>
          <w:color w:val="auto"/>
          <w:kern w:val="0"/>
          <w:szCs w:val="21"/>
          <w:highlight w:val="none"/>
          <w:lang w:val="de-DE"/>
        </w:rPr>
        <w:t>该产品在公开市场上的交易价格（含报价）。</w:t>
      </w:r>
      <w:r>
        <w:rPr>
          <w:rFonts w:hint="eastAsia" w:ascii="宋体" w:hAnsi="宋体"/>
          <w:color w:val="auto"/>
          <w:szCs w:val="21"/>
          <w:highlight w:val="none"/>
          <w:lang w:eastAsia="zh-CN"/>
        </w:rPr>
        <w:t>乙方</w:t>
      </w:r>
      <w:r>
        <w:rPr>
          <w:rFonts w:ascii="宋体" w:hAnsi="宋体"/>
          <w:color w:val="auto"/>
          <w:szCs w:val="21"/>
          <w:highlight w:val="none"/>
        </w:rPr>
        <w:t>违反上述承诺的</w:t>
      </w:r>
      <w:r>
        <w:rPr>
          <w:rFonts w:hint="eastAsia" w:ascii="宋体" w:hAnsi="宋体"/>
          <w:color w:val="auto"/>
          <w:szCs w:val="21"/>
          <w:highlight w:val="none"/>
        </w:rPr>
        <w:t>，</w:t>
      </w:r>
      <w:r>
        <w:rPr>
          <w:rFonts w:ascii="宋体" w:hAnsi="宋体"/>
          <w:color w:val="auto"/>
          <w:szCs w:val="21"/>
          <w:highlight w:val="none"/>
        </w:rPr>
        <w:t>应当按合同专用条款约定之</w:t>
      </w:r>
      <w:r>
        <w:rPr>
          <w:rFonts w:hint="eastAsia" w:ascii="宋体" w:hAnsi="宋体"/>
          <w:color w:val="auto"/>
          <w:szCs w:val="21"/>
          <w:highlight w:val="none"/>
          <w:lang w:eastAsia="zh-CN"/>
        </w:rPr>
        <w:t>甲方</w:t>
      </w:r>
      <w:r>
        <w:rPr>
          <w:rFonts w:ascii="宋体" w:hAnsi="宋体"/>
          <w:color w:val="auto"/>
          <w:szCs w:val="21"/>
          <w:highlight w:val="none"/>
        </w:rPr>
        <w:t>采购价格与该</w:t>
      </w:r>
      <w:r>
        <w:rPr>
          <w:rFonts w:hint="eastAsia" w:ascii="宋体" w:hAnsi="宋体"/>
          <w:color w:val="auto"/>
          <w:szCs w:val="21"/>
          <w:highlight w:val="none"/>
        </w:rPr>
        <w:t>较</w:t>
      </w:r>
      <w:r>
        <w:rPr>
          <w:rFonts w:ascii="宋体" w:hAnsi="宋体"/>
          <w:color w:val="auto"/>
          <w:szCs w:val="21"/>
          <w:highlight w:val="none"/>
        </w:rPr>
        <w:t>低价之间差</w:t>
      </w:r>
      <w:r>
        <w:rPr>
          <w:rFonts w:hint="eastAsia" w:ascii="宋体" w:hAnsi="宋体"/>
          <w:color w:val="auto"/>
          <w:szCs w:val="21"/>
          <w:highlight w:val="none"/>
        </w:rPr>
        <w:t>额</w:t>
      </w:r>
      <w:r>
        <w:rPr>
          <w:rFonts w:ascii="宋体" w:hAnsi="宋体"/>
          <w:color w:val="auto"/>
          <w:szCs w:val="21"/>
          <w:highlight w:val="none"/>
        </w:rPr>
        <w:t>的两倍向</w:t>
      </w:r>
      <w:r>
        <w:rPr>
          <w:rFonts w:hint="eastAsia" w:ascii="宋体" w:hAnsi="宋体"/>
          <w:color w:val="auto"/>
          <w:szCs w:val="21"/>
          <w:highlight w:val="none"/>
          <w:lang w:eastAsia="zh-CN"/>
        </w:rPr>
        <w:t>甲方</w:t>
      </w:r>
      <w:r>
        <w:rPr>
          <w:rFonts w:ascii="宋体" w:hAnsi="宋体"/>
          <w:color w:val="auto"/>
          <w:szCs w:val="21"/>
          <w:highlight w:val="none"/>
        </w:rPr>
        <w:t>支付违约金</w:t>
      </w:r>
      <w:r>
        <w:rPr>
          <w:rFonts w:hint="eastAsia" w:ascii="宋体" w:hAnsi="宋体"/>
          <w:color w:val="auto"/>
          <w:szCs w:val="21"/>
          <w:highlight w:val="none"/>
        </w:rPr>
        <w:t>。</w:t>
      </w:r>
    </w:p>
    <w:p w14:paraId="5B23A1CE">
      <w:pPr>
        <w:pStyle w:val="21"/>
        <w:numPr>
          <w:ilvl w:val="0"/>
          <w:numId w:val="0"/>
        </w:numPr>
        <w:spacing w:before="120" w:line="360" w:lineRule="exact"/>
        <w:ind w:firstLine="420" w:firstLineChars="200"/>
        <w:textAlignment w:val="baseline"/>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lang w:eastAsia="zh-CN"/>
        </w:rPr>
        <w:t>乙方</w:t>
      </w:r>
      <w:r>
        <w:rPr>
          <w:rFonts w:ascii="宋体" w:hAnsi="宋体"/>
          <w:color w:val="auto"/>
          <w:szCs w:val="21"/>
          <w:highlight w:val="none"/>
        </w:rPr>
        <w:t>同意将本合同项下应付款项用于抵扣</w:t>
      </w:r>
      <w:r>
        <w:rPr>
          <w:rFonts w:hint="eastAsia" w:ascii="宋体" w:hAnsi="宋体"/>
          <w:color w:val="auto"/>
          <w:szCs w:val="21"/>
          <w:highlight w:val="none"/>
        </w:rPr>
        <w:t>本合</w:t>
      </w:r>
      <w:r>
        <w:rPr>
          <w:rFonts w:ascii="宋体" w:hAnsi="宋体"/>
          <w:color w:val="auto"/>
          <w:szCs w:val="21"/>
          <w:highlight w:val="none"/>
        </w:rPr>
        <w:t>同项下</w:t>
      </w:r>
      <w:r>
        <w:rPr>
          <w:rFonts w:hint="eastAsia" w:ascii="宋体" w:hAnsi="宋体"/>
          <w:color w:val="auto"/>
          <w:szCs w:val="21"/>
          <w:highlight w:val="none"/>
          <w:lang w:eastAsia="zh-CN"/>
        </w:rPr>
        <w:t>乙方</w:t>
      </w:r>
      <w:r>
        <w:rPr>
          <w:rFonts w:hint="eastAsia" w:ascii="宋体" w:hAnsi="宋体"/>
          <w:color w:val="auto"/>
          <w:szCs w:val="21"/>
          <w:highlight w:val="none"/>
        </w:rPr>
        <w:t>拖欠</w:t>
      </w:r>
      <w:r>
        <w:rPr>
          <w:rFonts w:hint="eastAsia" w:ascii="宋体" w:hAnsi="宋体"/>
          <w:color w:val="auto"/>
          <w:szCs w:val="21"/>
          <w:highlight w:val="none"/>
          <w:lang w:eastAsia="zh-CN"/>
        </w:rPr>
        <w:t>甲方</w:t>
      </w:r>
      <w:r>
        <w:rPr>
          <w:rFonts w:hint="eastAsia" w:ascii="宋体" w:hAnsi="宋体"/>
          <w:color w:val="auto"/>
          <w:szCs w:val="21"/>
          <w:highlight w:val="none"/>
        </w:rPr>
        <w:t>的任何款项（如有，不限于违约金、赔偿金等）。</w:t>
      </w:r>
    </w:p>
    <w:p w14:paraId="7DDDA786">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三、</w:t>
      </w:r>
      <w:r>
        <w:rPr>
          <w:rFonts w:hint="eastAsia" w:ascii="宋体" w:hAnsi="宋体" w:cs="Times New Roman"/>
          <w:b/>
          <w:color w:val="auto"/>
          <w:kern w:val="2"/>
          <w:sz w:val="21"/>
          <w:szCs w:val="21"/>
          <w:highlight w:val="none"/>
          <w:u w:val="none"/>
          <w:lang w:eastAsia="zh-CN"/>
        </w:rPr>
        <w:t>包装和运输</w:t>
      </w:r>
    </w:p>
    <w:p w14:paraId="6346A56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ascii="宋体" w:hAnsi="宋体"/>
          <w:color w:val="auto"/>
          <w:szCs w:val="21"/>
          <w:highlight w:val="none"/>
        </w:rPr>
        <w:t>应提供合同产品运送至约定收货地址所需要的包装且保证相关包装材料坚固。根据合同产品特点和要求，</w:t>
      </w:r>
      <w:r>
        <w:rPr>
          <w:rFonts w:hint="eastAsia" w:ascii="宋体" w:hAnsi="宋体"/>
          <w:color w:val="auto"/>
          <w:szCs w:val="21"/>
          <w:highlight w:val="none"/>
          <w:lang w:eastAsia="zh-CN"/>
        </w:rPr>
        <w:t>乙方</w:t>
      </w:r>
      <w:r>
        <w:rPr>
          <w:rFonts w:ascii="宋体" w:hAnsi="宋体"/>
          <w:color w:val="auto"/>
          <w:szCs w:val="21"/>
          <w:highlight w:val="none"/>
        </w:rPr>
        <w:t>应采取防潮、防晒、防震、防压、防水及防止其他损坏的必要保护措施，从而保证合同产品免受雨水、潮湿、震荡和撞击的损坏，使其在正常装卸和搬运的条件下能够安全无损地抵达安装现场。相关合同产品的卸货工作由</w:t>
      </w:r>
      <w:r>
        <w:rPr>
          <w:rFonts w:hint="eastAsia" w:ascii="宋体" w:hAnsi="宋体"/>
          <w:color w:val="auto"/>
          <w:szCs w:val="21"/>
          <w:highlight w:val="none"/>
          <w:lang w:eastAsia="zh-CN"/>
        </w:rPr>
        <w:t>乙方</w:t>
      </w:r>
      <w:r>
        <w:rPr>
          <w:rFonts w:ascii="宋体" w:hAnsi="宋体"/>
          <w:color w:val="auto"/>
          <w:szCs w:val="21"/>
          <w:highlight w:val="none"/>
        </w:rPr>
        <w:t>负责完成。</w:t>
      </w:r>
    </w:p>
    <w:p w14:paraId="2DB7ACBE">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如因</w:t>
      </w:r>
      <w:r>
        <w:rPr>
          <w:rFonts w:hint="eastAsia" w:ascii="宋体" w:hAnsi="宋体"/>
          <w:color w:val="auto"/>
          <w:szCs w:val="21"/>
          <w:highlight w:val="none"/>
          <w:lang w:eastAsia="zh-CN"/>
        </w:rPr>
        <w:t>乙方</w:t>
      </w:r>
      <w:r>
        <w:rPr>
          <w:rFonts w:ascii="宋体" w:hAnsi="宋体"/>
          <w:color w:val="auto"/>
          <w:szCs w:val="21"/>
          <w:highlight w:val="none"/>
        </w:rPr>
        <w:t>在发货前未采取适当包装和/或不充分的保护措施而造成合同产品及配套材料的损坏或丢失，</w:t>
      </w:r>
      <w:r>
        <w:rPr>
          <w:rFonts w:hint="eastAsia" w:ascii="宋体" w:hAnsi="宋体"/>
          <w:color w:val="auto"/>
          <w:szCs w:val="21"/>
          <w:highlight w:val="none"/>
          <w:lang w:eastAsia="zh-CN"/>
        </w:rPr>
        <w:t>甲方</w:t>
      </w:r>
      <w:r>
        <w:rPr>
          <w:rFonts w:hint="eastAsia" w:ascii="宋体" w:hAnsi="宋体"/>
          <w:color w:val="auto"/>
          <w:szCs w:val="21"/>
          <w:highlight w:val="none"/>
        </w:rPr>
        <w:t>有权拒收或</w:t>
      </w:r>
      <w:r>
        <w:rPr>
          <w:rFonts w:ascii="宋体" w:hAnsi="宋体"/>
          <w:color w:val="auto"/>
          <w:szCs w:val="21"/>
          <w:highlight w:val="none"/>
        </w:rPr>
        <w:t>由</w:t>
      </w:r>
      <w:r>
        <w:rPr>
          <w:rFonts w:hint="eastAsia" w:ascii="宋体" w:hAnsi="宋体"/>
          <w:color w:val="auto"/>
          <w:szCs w:val="21"/>
          <w:highlight w:val="none"/>
          <w:lang w:eastAsia="zh-CN"/>
        </w:rPr>
        <w:t>乙方</w:t>
      </w:r>
      <w:r>
        <w:rPr>
          <w:rFonts w:ascii="宋体" w:hAnsi="宋体"/>
          <w:color w:val="auto"/>
          <w:szCs w:val="21"/>
          <w:highlight w:val="none"/>
        </w:rPr>
        <w:t>负责更换，并承担</w:t>
      </w:r>
      <w:r>
        <w:rPr>
          <w:rFonts w:hint="eastAsia" w:ascii="宋体" w:hAnsi="宋体"/>
          <w:color w:val="auto"/>
          <w:szCs w:val="21"/>
          <w:highlight w:val="none"/>
        </w:rPr>
        <w:t>违约责任及</w:t>
      </w:r>
      <w:r>
        <w:rPr>
          <w:rFonts w:ascii="宋体" w:hAnsi="宋体"/>
          <w:color w:val="auto"/>
          <w:szCs w:val="21"/>
          <w:highlight w:val="none"/>
        </w:rPr>
        <w:t>因此造成的延误责任以及由此导致</w:t>
      </w:r>
      <w:r>
        <w:rPr>
          <w:rFonts w:hint="eastAsia" w:ascii="宋体" w:hAnsi="宋体"/>
          <w:color w:val="auto"/>
          <w:szCs w:val="21"/>
          <w:highlight w:val="none"/>
          <w:lang w:eastAsia="zh-CN"/>
        </w:rPr>
        <w:t>甲方</w:t>
      </w:r>
      <w:r>
        <w:rPr>
          <w:rFonts w:ascii="宋体" w:hAnsi="宋体"/>
          <w:color w:val="auto"/>
          <w:szCs w:val="21"/>
          <w:highlight w:val="none"/>
        </w:rPr>
        <w:t>的经济损失。</w:t>
      </w:r>
    </w:p>
    <w:p w14:paraId="4461C7B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ascii="宋体" w:hAnsi="宋体"/>
          <w:color w:val="auto"/>
          <w:szCs w:val="21"/>
          <w:highlight w:val="none"/>
        </w:rPr>
        <w:t>应选择适合</w:t>
      </w:r>
      <w:r>
        <w:rPr>
          <w:rFonts w:hint="eastAsia" w:ascii="宋体" w:hAnsi="宋体"/>
          <w:color w:val="auto"/>
          <w:szCs w:val="21"/>
          <w:highlight w:val="none"/>
        </w:rPr>
        <w:t>合</w:t>
      </w:r>
      <w:r>
        <w:rPr>
          <w:rFonts w:ascii="宋体" w:hAnsi="宋体"/>
          <w:color w:val="auto"/>
          <w:szCs w:val="21"/>
          <w:highlight w:val="none"/>
        </w:rPr>
        <w:t>同产</w:t>
      </w:r>
      <w:r>
        <w:rPr>
          <w:rFonts w:hint="eastAsia" w:ascii="宋体" w:hAnsi="宋体"/>
          <w:color w:val="auto"/>
          <w:szCs w:val="21"/>
          <w:highlight w:val="none"/>
        </w:rPr>
        <w:t>品</w:t>
      </w:r>
      <w:r>
        <w:rPr>
          <w:rFonts w:ascii="宋体" w:hAnsi="宋体"/>
          <w:color w:val="auto"/>
          <w:szCs w:val="21"/>
          <w:highlight w:val="none"/>
        </w:rPr>
        <w:t>的方式运输</w:t>
      </w:r>
      <w:r>
        <w:rPr>
          <w:rFonts w:hint="eastAsia" w:ascii="宋体" w:hAnsi="宋体"/>
          <w:color w:val="auto"/>
          <w:szCs w:val="21"/>
          <w:highlight w:val="none"/>
        </w:rPr>
        <w:t>，如由于不可归责于任何一方的意外事件造成本合同产品在运输过程中丢失和</w:t>
      </w:r>
      <w:r>
        <w:rPr>
          <w:rFonts w:ascii="宋体" w:hAnsi="宋体"/>
          <w:color w:val="auto"/>
          <w:szCs w:val="21"/>
          <w:highlight w:val="none"/>
        </w:rPr>
        <w:t>/或损坏，</w:t>
      </w:r>
      <w:r>
        <w:rPr>
          <w:rFonts w:hint="eastAsia" w:ascii="宋体" w:hAnsi="宋体"/>
          <w:color w:val="auto"/>
          <w:szCs w:val="21"/>
          <w:highlight w:val="none"/>
          <w:lang w:eastAsia="zh-CN"/>
        </w:rPr>
        <w:t>乙方</w:t>
      </w:r>
      <w:r>
        <w:rPr>
          <w:rFonts w:ascii="宋体" w:hAnsi="宋体"/>
          <w:color w:val="auto"/>
          <w:szCs w:val="21"/>
          <w:highlight w:val="none"/>
        </w:rPr>
        <w:t>应尽快补齐丢失和/或损坏的产品及配套材料以使本合同得以及时、完整履行。由此造成</w:t>
      </w:r>
      <w:r>
        <w:rPr>
          <w:rFonts w:hint="eastAsia" w:ascii="宋体" w:hAnsi="宋体"/>
          <w:color w:val="auto"/>
          <w:szCs w:val="21"/>
          <w:highlight w:val="none"/>
          <w:lang w:eastAsia="zh-CN"/>
        </w:rPr>
        <w:t>甲方</w:t>
      </w:r>
      <w:r>
        <w:rPr>
          <w:rFonts w:ascii="宋体" w:hAnsi="宋体"/>
          <w:color w:val="auto"/>
          <w:szCs w:val="21"/>
          <w:highlight w:val="none"/>
        </w:rPr>
        <w:t>损失的，双方按照公平原则协商处理。</w:t>
      </w:r>
    </w:p>
    <w:p w14:paraId="4E5B9844">
      <w:pPr>
        <w:spacing w:before="120" w:after="0" w:line="360" w:lineRule="exact"/>
        <w:jc w:val="both"/>
        <w:rPr>
          <w:rFonts w:ascii="宋体" w:hAnsi="宋体" w:cs="Times New Roman"/>
          <w:color w:val="auto"/>
          <w:kern w:val="2"/>
          <w:sz w:val="21"/>
          <w:szCs w:val="21"/>
          <w:highlight w:val="none"/>
          <w:u w:val="none"/>
          <w:lang w:eastAsia="zh-CN"/>
        </w:rPr>
      </w:pPr>
      <w:r>
        <w:rPr>
          <w:rFonts w:hint="eastAsia" w:ascii="宋体" w:hAnsi="宋体" w:cs="Times New Roman"/>
          <w:b/>
          <w:color w:val="auto"/>
          <w:kern w:val="2"/>
          <w:sz w:val="21"/>
          <w:szCs w:val="21"/>
          <w:highlight w:val="none"/>
          <w:lang w:eastAsia="zh-CN"/>
        </w:rPr>
        <w:t>四、</w:t>
      </w:r>
      <w:r>
        <w:rPr>
          <w:rFonts w:hint="eastAsia" w:ascii="宋体" w:hAnsi="宋体" w:cs="Times New Roman"/>
          <w:b/>
          <w:color w:val="auto"/>
          <w:kern w:val="2"/>
          <w:sz w:val="21"/>
          <w:szCs w:val="21"/>
          <w:highlight w:val="none"/>
          <w:u w:val="none"/>
          <w:lang w:eastAsia="zh-CN"/>
        </w:rPr>
        <w:t>交货与验收</w:t>
      </w:r>
    </w:p>
    <w:p w14:paraId="02529A8A">
      <w:pPr>
        <w:pStyle w:val="21"/>
        <w:numPr>
          <w:ilvl w:val="0"/>
          <w:numId w:val="0"/>
        </w:numPr>
        <w:spacing w:before="120" w:line="360" w:lineRule="exact"/>
        <w:ind w:left="66" w:leftChars="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交货</w:t>
      </w:r>
    </w:p>
    <w:p w14:paraId="36E677F2">
      <w:pPr>
        <w:pStyle w:val="21"/>
        <w:numPr>
          <w:ilvl w:val="0"/>
          <w:numId w:val="6"/>
        </w:numPr>
        <w:tabs>
          <w:tab w:val="left" w:pos="993"/>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应当于专用条款</w:t>
      </w:r>
      <w:r>
        <w:rPr>
          <w:rFonts w:ascii="宋体" w:hAnsi="宋体"/>
          <w:color w:val="auto"/>
          <w:szCs w:val="21"/>
          <w:highlight w:val="none"/>
        </w:rPr>
        <w:t>约定的</w:t>
      </w:r>
      <w:r>
        <w:rPr>
          <w:rFonts w:hint="eastAsia" w:ascii="宋体" w:hAnsi="宋体"/>
          <w:color w:val="auto"/>
          <w:szCs w:val="21"/>
          <w:highlight w:val="none"/>
        </w:rPr>
        <w:t>交货日前</w:t>
      </w:r>
      <w:r>
        <w:rPr>
          <w:rFonts w:ascii="宋体" w:hAnsi="宋体"/>
          <w:color w:val="auto"/>
          <w:szCs w:val="21"/>
          <w:highlight w:val="none"/>
        </w:rPr>
        <w:t>将合同产品运送至</w:t>
      </w:r>
      <w:r>
        <w:rPr>
          <w:rFonts w:hint="eastAsia" w:ascii="宋体" w:hAnsi="宋体"/>
          <w:color w:val="auto"/>
          <w:szCs w:val="21"/>
          <w:highlight w:val="none"/>
          <w:lang w:eastAsia="zh-CN"/>
        </w:rPr>
        <w:t>甲方</w:t>
      </w:r>
      <w:r>
        <w:rPr>
          <w:rFonts w:ascii="宋体" w:hAnsi="宋体"/>
          <w:color w:val="auto"/>
          <w:szCs w:val="21"/>
          <w:highlight w:val="none"/>
        </w:rPr>
        <w:t>指定收货地点</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在交货前应通知</w:t>
      </w:r>
      <w:r>
        <w:rPr>
          <w:rFonts w:hint="eastAsia" w:ascii="宋体" w:hAnsi="宋体"/>
          <w:color w:val="auto"/>
          <w:szCs w:val="21"/>
          <w:highlight w:val="none"/>
          <w:lang w:eastAsia="zh-CN"/>
        </w:rPr>
        <w:t>甲方</w:t>
      </w:r>
      <w:r>
        <w:rPr>
          <w:rFonts w:hint="eastAsia" w:ascii="宋体" w:hAnsi="宋体"/>
          <w:color w:val="auto"/>
          <w:szCs w:val="21"/>
          <w:highlight w:val="none"/>
        </w:rPr>
        <w:t>准备收货</w:t>
      </w:r>
      <w:r>
        <w:rPr>
          <w:rFonts w:ascii="宋体" w:hAnsi="宋体"/>
          <w:color w:val="auto"/>
          <w:szCs w:val="21"/>
          <w:highlight w:val="none"/>
        </w:rPr>
        <w:t>,否则</w:t>
      </w:r>
      <w:r>
        <w:rPr>
          <w:rFonts w:hint="eastAsia" w:ascii="宋体" w:hAnsi="宋体"/>
          <w:color w:val="auto"/>
          <w:szCs w:val="21"/>
          <w:highlight w:val="none"/>
          <w:lang w:eastAsia="zh-CN"/>
        </w:rPr>
        <w:t>甲方</w:t>
      </w:r>
      <w:r>
        <w:rPr>
          <w:rFonts w:ascii="宋体" w:hAnsi="宋体"/>
          <w:color w:val="auto"/>
          <w:szCs w:val="21"/>
          <w:highlight w:val="none"/>
        </w:rPr>
        <w:t>有权拒绝接收。</w:t>
      </w:r>
      <w:r>
        <w:rPr>
          <w:rFonts w:hint="eastAsia" w:ascii="宋体" w:hAnsi="宋体"/>
          <w:color w:val="auto"/>
          <w:szCs w:val="21"/>
          <w:highlight w:val="none"/>
          <w:lang w:eastAsia="zh-CN"/>
        </w:rPr>
        <w:t>甲方</w:t>
      </w:r>
      <w:r>
        <w:rPr>
          <w:rFonts w:hint="eastAsia" w:ascii="宋体" w:hAnsi="宋体"/>
          <w:color w:val="auto"/>
          <w:szCs w:val="21"/>
          <w:highlight w:val="none"/>
        </w:rPr>
        <w:t>要求延迟交货的应当在交货日前三</w:t>
      </w:r>
      <w:r>
        <w:rPr>
          <w:rFonts w:ascii="宋体" w:hAnsi="宋体"/>
          <w:color w:val="auto"/>
          <w:szCs w:val="21"/>
          <w:highlight w:val="none"/>
        </w:rPr>
        <w:t>天通知</w:t>
      </w:r>
      <w:r>
        <w:rPr>
          <w:rFonts w:hint="eastAsia" w:ascii="宋体" w:hAnsi="宋体"/>
          <w:color w:val="auto"/>
          <w:szCs w:val="21"/>
          <w:highlight w:val="none"/>
          <w:lang w:eastAsia="zh-CN"/>
        </w:rPr>
        <w:t>乙方</w:t>
      </w:r>
      <w:r>
        <w:rPr>
          <w:rFonts w:ascii="宋体" w:hAnsi="宋体"/>
          <w:color w:val="auto"/>
          <w:szCs w:val="21"/>
          <w:highlight w:val="none"/>
        </w:rPr>
        <w:t>。</w:t>
      </w:r>
    </w:p>
    <w:p w14:paraId="2830141E">
      <w:pPr>
        <w:pStyle w:val="21"/>
        <w:numPr>
          <w:ilvl w:val="0"/>
          <w:numId w:val="6"/>
        </w:numPr>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交货时，合</w:t>
      </w:r>
      <w:r>
        <w:rPr>
          <w:rFonts w:ascii="宋体" w:hAnsi="宋体"/>
          <w:color w:val="auto"/>
          <w:szCs w:val="21"/>
          <w:highlight w:val="none"/>
        </w:rPr>
        <w:t>同</w:t>
      </w:r>
      <w:r>
        <w:rPr>
          <w:rFonts w:hint="eastAsia" w:ascii="宋体" w:hAnsi="宋体"/>
          <w:color w:val="auto"/>
          <w:szCs w:val="21"/>
          <w:highlight w:val="none"/>
        </w:rPr>
        <w:t>产品须带有包含合同</w:t>
      </w:r>
      <w:r>
        <w:rPr>
          <w:rFonts w:ascii="宋体" w:hAnsi="宋体"/>
          <w:color w:val="auto"/>
          <w:szCs w:val="21"/>
          <w:highlight w:val="none"/>
        </w:rPr>
        <w:t>产品</w:t>
      </w:r>
      <w:r>
        <w:rPr>
          <w:rFonts w:hint="eastAsia" w:ascii="宋体" w:hAnsi="宋体"/>
          <w:color w:val="auto"/>
          <w:szCs w:val="21"/>
          <w:highlight w:val="none"/>
        </w:rPr>
        <w:t>名称、数量、机组号、图号等</w:t>
      </w:r>
      <w:r>
        <w:rPr>
          <w:rFonts w:ascii="宋体" w:hAnsi="宋体"/>
          <w:color w:val="auto"/>
          <w:szCs w:val="21"/>
          <w:highlight w:val="none"/>
        </w:rPr>
        <w:t>相关</w:t>
      </w:r>
      <w:r>
        <w:rPr>
          <w:rFonts w:hint="eastAsia" w:ascii="宋体" w:hAnsi="宋体"/>
          <w:color w:val="auto"/>
          <w:szCs w:val="21"/>
          <w:highlight w:val="none"/>
        </w:rPr>
        <w:t>信息的详细送货</w:t>
      </w:r>
      <w:r>
        <w:rPr>
          <w:rFonts w:ascii="宋体" w:hAnsi="宋体"/>
          <w:color w:val="auto"/>
          <w:szCs w:val="21"/>
          <w:highlight w:val="none"/>
        </w:rPr>
        <w:t>单</w:t>
      </w:r>
      <w:r>
        <w:rPr>
          <w:rFonts w:hint="eastAsia" w:ascii="宋体" w:hAnsi="宋体"/>
          <w:color w:val="auto"/>
          <w:szCs w:val="21"/>
          <w:highlight w:val="none"/>
        </w:rPr>
        <w:t>、产</w:t>
      </w:r>
      <w:r>
        <w:rPr>
          <w:rFonts w:ascii="宋体" w:hAnsi="宋体"/>
          <w:color w:val="auto"/>
          <w:szCs w:val="21"/>
          <w:highlight w:val="none"/>
        </w:rPr>
        <w:t>品</w:t>
      </w:r>
      <w:r>
        <w:rPr>
          <w:rFonts w:hint="eastAsia" w:ascii="宋体" w:hAnsi="宋体"/>
          <w:color w:val="auto"/>
          <w:szCs w:val="21"/>
          <w:highlight w:val="none"/>
        </w:rPr>
        <w:t>合格证及产品出厂检测报告（如有）、发货证明等相</w:t>
      </w:r>
      <w:r>
        <w:rPr>
          <w:rFonts w:ascii="宋体" w:hAnsi="宋体"/>
          <w:color w:val="auto"/>
          <w:szCs w:val="21"/>
          <w:highlight w:val="none"/>
        </w:rPr>
        <w:t>关附属材料</w:t>
      </w:r>
      <w:r>
        <w:rPr>
          <w:rFonts w:hint="eastAsia" w:ascii="宋体" w:hAnsi="宋体"/>
          <w:color w:val="auto"/>
          <w:szCs w:val="21"/>
          <w:highlight w:val="none"/>
        </w:rPr>
        <w:t>。</w:t>
      </w:r>
    </w:p>
    <w:p w14:paraId="34DDEBED">
      <w:pPr>
        <w:pStyle w:val="21"/>
        <w:numPr>
          <w:ilvl w:val="0"/>
          <w:numId w:val="6"/>
        </w:numPr>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如是进口产品，</w:t>
      </w:r>
      <w:r>
        <w:rPr>
          <w:rFonts w:hint="eastAsia" w:ascii="宋体" w:hAnsi="宋体"/>
          <w:color w:val="auto"/>
          <w:szCs w:val="21"/>
          <w:highlight w:val="none"/>
          <w:lang w:eastAsia="zh-CN"/>
        </w:rPr>
        <w:t>乙方</w:t>
      </w:r>
      <w:r>
        <w:rPr>
          <w:rFonts w:hint="eastAsia" w:ascii="宋体" w:hAnsi="宋体"/>
          <w:color w:val="auto"/>
          <w:szCs w:val="21"/>
          <w:highlight w:val="none"/>
        </w:rPr>
        <w:t>应于</w:t>
      </w:r>
      <w:r>
        <w:rPr>
          <w:rFonts w:ascii="宋体" w:hAnsi="宋体"/>
          <w:color w:val="auto"/>
          <w:szCs w:val="21"/>
          <w:highlight w:val="none"/>
        </w:rPr>
        <w:t>交货时</w:t>
      </w:r>
      <w:r>
        <w:rPr>
          <w:rFonts w:hint="eastAsia" w:ascii="宋体" w:hAnsi="宋体"/>
          <w:color w:val="auto"/>
          <w:szCs w:val="21"/>
          <w:highlight w:val="none"/>
        </w:rPr>
        <w:t>提供原产地证明、原厂测试报告、报关单等相关文件，并负责清关事宜。</w:t>
      </w:r>
    </w:p>
    <w:p w14:paraId="6492C221">
      <w:pPr>
        <w:pStyle w:val="21"/>
        <w:numPr>
          <w:ilvl w:val="0"/>
          <w:numId w:val="0"/>
        </w:numPr>
        <w:spacing w:before="120" w:line="360" w:lineRule="exac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安装调试</w:t>
      </w:r>
    </w:p>
    <w:p w14:paraId="0EA3E24C">
      <w:pPr>
        <w:pStyle w:val="21"/>
        <w:spacing w:before="120" w:line="360" w:lineRule="exact"/>
        <w:ind w:left="426" w:firstLine="0" w:firstLineChars="0"/>
        <w:rPr>
          <w:rFonts w:hint="eastAsia" w:ascii="宋体" w:hAnsi="宋体"/>
          <w:color w:val="auto"/>
          <w:szCs w:val="21"/>
          <w:highlight w:val="none"/>
        </w:rPr>
      </w:pPr>
      <w:r>
        <w:rPr>
          <w:rFonts w:hint="eastAsia" w:ascii="宋体" w:hAnsi="宋体"/>
          <w:color w:val="auto"/>
          <w:szCs w:val="21"/>
          <w:highlight w:val="none"/>
        </w:rPr>
        <w:t>如双方约定由</w:t>
      </w:r>
      <w:r>
        <w:rPr>
          <w:rFonts w:hint="eastAsia" w:ascii="宋体" w:hAnsi="宋体"/>
          <w:color w:val="auto"/>
          <w:szCs w:val="21"/>
          <w:highlight w:val="none"/>
          <w:lang w:eastAsia="zh-CN"/>
        </w:rPr>
        <w:t>乙方</w:t>
      </w:r>
      <w:r>
        <w:rPr>
          <w:rFonts w:hint="eastAsia" w:ascii="宋体" w:hAnsi="宋体"/>
          <w:color w:val="auto"/>
          <w:szCs w:val="21"/>
          <w:highlight w:val="none"/>
        </w:rPr>
        <w:t>安装、调试的，</w:t>
      </w:r>
      <w:r>
        <w:rPr>
          <w:rFonts w:hint="eastAsia" w:ascii="宋体" w:hAnsi="宋体"/>
          <w:color w:val="auto"/>
          <w:szCs w:val="21"/>
          <w:highlight w:val="none"/>
          <w:lang w:eastAsia="zh-CN"/>
        </w:rPr>
        <w:t>乙方</w:t>
      </w:r>
      <w:r>
        <w:rPr>
          <w:rFonts w:hint="eastAsia" w:ascii="宋体" w:hAnsi="宋体"/>
          <w:color w:val="auto"/>
          <w:szCs w:val="21"/>
          <w:highlight w:val="none"/>
        </w:rPr>
        <w:t>应指定符合资质的专业人员严格按照相关安装技术规程及调试规程进行产品的全程安装和调试。</w:t>
      </w:r>
    </w:p>
    <w:p w14:paraId="4BA972AD">
      <w:pPr>
        <w:pStyle w:val="21"/>
        <w:spacing w:before="120" w:line="360" w:lineRule="exact"/>
        <w:ind w:left="0" w:leftChars="0" w:firstLine="0" w:firstLineChars="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验收</w:t>
      </w:r>
    </w:p>
    <w:p w14:paraId="6CEC49E1">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rPr>
        <w:t>外观验收：合同</w:t>
      </w:r>
      <w:r>
        <w:rPr>
          <w:rFonts w:ascii="宋体" w:hAnsi="宋体"/>
          <w:color w:val="auto"/>
          <w:szCs w:val="21"/>
          <w:highlight w:val="none"/>
        </w:rPr>
        <w:t>产品送至</w:t>
      </w:r>
      <w:r>
        <w:rPr>
          <w:rFonts w:hint="eastAsia" w:ascii="宋体" w:hAnsi="宋体"/>
          <w:color w:val="auto"/>
          <w:szCs w:val="21"/>
          <w:highlight w:val="none"/>
          <w:lang w:eastAsia="zh-CN"/>
        </w:rPr>
        <w:t>甲方</w:t>
      </w:r>
      <w:r>
        <w:rPr>
          <w:rFonts w:hint="eastAsia" w:ascii="宋体" w:hAnsi="宋体"/>
          <w:color w:val="auto"/>
          <w:szCs w:val="21"/>
          <w:highlight w:val="none"/>
        </w:rPr>
        <w:t>指定</w:t>
      </w:r>
      <w:r>
        <w:rPr>
          <w:rFonts w:ascii="宋体" w:hAnsi="宋体"/>
          <w:color w:val="auto"/>
          <w:szCs w:val="21"/>
          <w:highlight w:val="none"/>
        </w:rPr>
        <w:t>地点后</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应对产品数量、包装等外观质量进行初步检验，确认与合同标的相符后在相应</w:t>
      </w:r>
      <w:r>
        <w:rPr>
          <w:rFonts w:ascii="宋体" w:hAnsi="宋体"/>
          <w:color w:val="auto"/>
          <w:szCs w:val="21"/>
          <w:highlight w:val="none"/>
        </w:rPr>
        <w:t>的送货单据上签收</w:t>
      </w:r>
      <w:r>
        <w:rPr>
          <w:rFonts w:hint="eastAsia" w:ascii="宋体" w:hAnsi="宋体"/>
          <w:color w:val="auto"/>
          <w:szCs w:val="21"/>
          <w:highlight w:val="none"/>
        </w:rPr>
        <w:t>，</w:t>
      </w:r>
      <w:r>
        <w:rPr>
          <w:rFonts w:hint="eastAsia" w:ascii="宋体" w:hAnsi="宋体"/>
          <w:color w:val="auto"/>
          <w:szCs w:val="21"/>
          <w:highlight w:val="none"/>
          <w:lang w:eastAsia="zh-CN"/>
        </w:rPr>
        <w:t>甲方</w:t>
      </w:r>
      <w:r>
        <w:rPr>
          <w:rFonts w:hint="eastAsia" w:ascii="宋体" w:hAnsi="宋体"/>
          <w:color w:val="auto"/>
          <w:szCs w:val="21"/>
          <w:highlight w:val="none"/>
        </w:rPr>
        <w:t>的签收将不视为对合同产品质量的最终确认。</w:t>
      </w:r>
    </w:p>
    <w:p w14:paraId="2DFEC4CC">
      <w:pPr>
        <w:pStyle w:val="21"/>
        <w:numPr>
          <w:ilvl w:val="0"/>
          <w:numId w:val="7"/>
        </w:numPr>
        <w:tabs>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在</w:t>
      </w:r>
      <w:r>
        <w:rPr>
          <w:rFonts w:ascii="宋体" w:hAnsi="宋体"/>
          <w:color w:val="auto"/>
          <w:szCs w:val="21"/>
          <w:highlight w:val="none"/>
        </w:rPr>
        <w:t>签收过程中</w:t>
      </w:r>
      <w:r>
        <w:rPr>
          <w:rFonts w:hint="eastAsia" w:ascii="宋体" w:hAnsi="宋体"/>
          <w:color w:val="auto"/>
          <w:szCs w:val="21"/>
          <w:highlight w:val="none"/>
        </w:rPr>
        <w:t>如发现任何短缺、故障、损坏或与合同规定不符之处，</w:t>
      </w:r>
      <w:r>
        <w:rPr>
          <w:rFonts w:hint="eastAsia" w:ascii="宋体" w:hAnsi="宋体"/>
          <w:color w:val="auto"/>
          <w:szCs w:val="21"/>
          <w:highlight w:val="none"/>
          <w:lang w:eastAsia="zh-CN"/>
        </w:rPr>
        <w:t>甲方</w:t>
      </w:r>
      <w:r>
        <w:rPr>
          <w:rFonts w:hint="eastAsia" w:ascii="宋体" w:hAnsi="宋体"/>
          <w:color w:val="auto"/>
          <w:szCs w:val="21"/>
          <w:highlight w:val="none"/>
        </w:rPr>
        <w:t>有权</w:t>
      </w:r>
      <w:r>
        <w:rPr>
          <w:rFonts w:ascii="宋体" w:hAnsi="宋体"/>
          <w:color w:val="auto"/>
          <w:szCs w:val="21"/>
          <w:highlight w:val="none"/>
        </w:rPr>
        <w:t>拒收或在</w:t>
      </w:r>
      <w:r>
        <w:rPr>
          <w:rFonts w:hint="eastAsia" w:ascii="宋体" w:hAnsi="宋体"/>
          <w:color w:val="auto"/>
          <w:szCs w:val="21"/>
          <w:highlight w:val="none"/>
        </w:rPr>
        <w:t>送货</w:t>
      </w:r>
      <w:r>
        <w:rPr>
          <w:rFonts w:ascii="宋体" w:hAnsi="宋体"/>
          <w:color w:val="auto"/>
          <w:szCs w:val="21"/>
          <w:highlight w:val="none"/>
        </w:rPr>
        <w:t>单</w:t>
      </w:r>
      <w:r>
        <w:rPr>
          <w:rFonts w:hint="eastAsia" w:ascii="宋体" w:hAnsi="宋体"/>
          <w:color w:val="auto"/>
          <w:szCs w:val="21"/>
          <w:highlight w:val="none"/>
        </w:rPr>
        <w:t>据</w:t>
      </w:r>
      <w:r>
        <w:rPr>
          <w:rFonts w:ascii="宋体" w:hAnsi="宋体"/>
          <w:color w:val="auto"/>
          <w:szCs w:val="21"/>
          <w:highlight w:val="none"/>
        </w:rPr>
        <w:t>中注明</w:t>
      </w:r>
      <w:r>
        <w:rPr>
          <w:rFonts w:hint="eastAsia" w:ascii="宋体" w:hAnsi="宋体"/>
          <w:color w:val="auto"/>
          <w:szCs w:val="21"/>
          <w:highlight w:val="none"/>
        </w:rPr>
        <w:t>短缺、故障、损坏、与</w:t>
      </w:r>
      <w:r>
        <w:rPr>
          <w:rFonts w:ascii="宋体" w:hAnsi="宋体"/>
          <w:color w:val="auto"/>
          <w:szCs w:val="21"/>
          <w:highlight w:val="none"/>
        </w:rPr>
        <w:t>合同不符的情况后</w:t>
      </w:r>
      <w:r>
        <w:rPr>
          <w:rFonts w:hint="eastAsia" w:ascii="宋体" w:hAnsi="宋体"/>
          <w:color w:val="auto"/>
          <w:szCs w:val="21"/>
          <w:highlight w:val="none"/>
        </w:rPr>
        <w:t>部分</w:t>
      </w:r>
      <w:r>
        <w:rPr>
          <w:rFonts w:ascii="宋体" w:hAnsi="宋体"/>
          <w:color w:val="auto"/>
          <w:szCs w:val="21"/>
          <w:highlight w:val="none"/>
        </w:rPr>
        <w:t>签收</w:t>
      </w:r>
      <w:r>
        <w:rPr>
          <w:rFonts w:hint="eastAsia" w:ascii="宋体" w:hAnsi="宋体"/>
          <w:color w:val="auto"/>
          <w:szCs w:val="21"/>
          <w:highlight w:val="none"/>
        </w:rPr>
        <w:t>，双方签字确认的送货</w:t>
      </w:r>
      <w:r>
        <w:rPr>
          <w:rFonts w:ascii="宋体" w:hAnsi="宋体"/>
          <w:color w:val="auto"/>
          <w:szCs w:val="21"/>
          <w:highlight w:val="none"/>
        </w:rPr>
        <w:t>单</w:t>
      </w:r>
      <w:r>
        <w:rPr>
          <w:rFonts w:hint="eastAsia" w:ascii="宋体" w:hAnsi="宋体"/>
          <w:color w:val="auto"/>
          <w:szCs w:val="21"/>
          <w:highlight w:val="none"/>
        </w:rPr>
        <w:t>据作为更换、修理及赔偿的有效证据；经</w:t>
      </w:r>
      <w:r>
        <w:rPr>
          <w:rFonts w:hint="eastAsia" w:ascii="宋体" w:hAnsi="宋体"/>
          <w:color w:val="auto"/>
          <w:szCs w:val="21"/>
          <w:highlight w:val="none"/>
          <w:lang w:eastAsia="zh-CN"/>
        </w:rPr>
        <w:t>乙方</w:t>
      </w:r>
      <w:r>
        <w:rPr>
          <w:rFonts w:hint="eastAsia" w:ascii="宋体" w:hAnsi="宋体"/>
          <w:color w:val="auto"/>
          <w:szCs w:val="21"/>
          <w:highlight w:val="none"/>
        </w:rPr>
        <w:t>更换、修理达到要求后，</w:t>
      </w:r>
      <w:r>
        <w:rPr>
          <w:rFonts w:hint="eastAsia" w:ascii="宋体" w:hAnsi="宋体"/>
          <w:color w:val="auto"/>
          <w:szCs w:val="21"/>
          <w:highlight w:val="none"/>
          <w:lang w:eastAsia="zh-CN"/>
        </w:rPr>
        <w:t>甲方</w:t>
      </w:r>
      <w:r>
        <w:rPr>
          <w:rFonts w:hint="eastAsia" w:ascii="宋体" w:hAnsi="宋体"/>
          <w:color w:val="auto"/>
          <w:szCs w:val="21"/>
          <w:highlight w:val="none"/>
        </w:rPr>
        <w:t>对</w:t>
      </w:r>
      <w:r>
        <w:rPr>
          <w:rFonts w:ascii="宋体" w:hAnsi="宋体"/>
          <w:color w:val="auto"/>
          <w:szCs w:val="21"/>
          <w:highlight w:val="none"/>
        </w:rPr>
        <w:t>更换、修理后的合同产品重新签收</w:t>
      </w:r>
      <w:r>
        <w:rPr>
          <w:rFonts w:hint="eastAsia" w:ascii="宋体" w:hAnsi="宋体"/>
          <w:color w:val="auto"/>
          <w:szCs w:val="21"/>
          <w:highlight w:val="none"/>
        </w:rPr>
        <w:t>。</w:t>
      </w:r>
    </w:p>
    <w:p w14:paraId="446C1FD8">
      <w:pPr>
        <w:pStyle w:val="21"/>
        <w:numPr>
          <w:ilvl w:val="0"/>
          <w:numId w:val="7"/>
        </w:numPr>
        <w:tabs>
          <w:tab w:val="left" w:pos="426"/>
          <w:tab w:val="left" w:pos="567"/>
        </w:tabs>
        <w:spacing w:before="120" w:line="360" w:lineRule="exact"/>
        <w:ind w:left="567" w:hanging="567" w:firstLineChars="0"/>
        <w:rPr>
          <w:rFonts w:ascii="宋体" w:hAnsi="宋体"/>
          <w:color w:val="auto"/>
          <w:szCs w:val="21"/>
          <w:highlight w:val="none"/>
        </w:rPr>
      </w:pPr>
      <w:r>
        <w:rPr>
          <w:rFonts w:hint="eastAsia" w:ascii="宋体" w:hAnsi="宋体"/>
          <w:color w:val="auto"/>
          <w:szCs w:val="21"/>
          <w:highlight w:val="none"/>
          <w:lang w:eastAsia="zh-CN"/>
        </w:rPr>
        <w:t>甲方</w:t>
      </w:r>
      <w:r>
        <w:rPr>
          <w:rFonts w:hint="eastAsia" w:ascii="宋体" w:hAnsi="宋体"/>
          <w:color w:val="auto"/>
          <w:szCs w:val="21"/>
          <w:highlight w:val="none"/>
        </w:rPr>
        <w:t>应在合同产品签收且</w:t>
      </w:r>
      <w:r>
        <w:rPr>
          <w:rFonts w:ascii="宋体" w:hAnsi="宋体"/>
          <w:color w:val="auto"/>
          <w:szCs w:val="21"/>
          <w:highlight w:val="none"/>
        </w:rPr>
        <w:t>安装、</w:t>
      </w:r>
      <w:r>
        <w:rPr>
          <w:rFonts w:hint="eastAsia" w:ascii="宋体" w:hAnsi="宋体"/>
          <w:color w:val="auto"/>
          <w:szCs w:val="21"/>
          <w:highlight w:val="none"/>
        </w:rPr>
        <w:t>调试</w:t>
      </w:r>
      <w:r>
        <w:rPr>
          <w:rFonts w:ascii="宋体" w:hAnsi="宋体"/>
          <w:color w:val="auto"/>
          <w:szCs w:val="21"/>
          <w:highlight w:val="none"/>
        </w:rPr>
        <w:t>完成</w:t>
      </w:r>
      <w:r>
        <w:rPr>
          <w:rFonts w:hint="eastAsia" w:ascii="宋体" w:hAnsi="宋体"/>
          <w:color w:val="auto"/>
          <w:szCs w:val="21"/>
          <w:highlight w:val="none"/>
        </w:rPr>
        <w:t>后（</w:t>
      </w:r>
      <w:r>
        <w:rPr>
          <w:rFonts w:ascii="宋体" w:hAnsi="宋体"/>
          <w:color w:val="auto"/>
          <w:szCs w:val="21"/>
          <w:highlight w:val="none"/>
        </w:rPr>
        <w:t>如需</w:t>
      </w:r>
      <w:r>
        <w:rPr>
          <w:rFonts w:hint="eastAsia" w:ascii="宋体" w:hAnsi="宋体"/>
          <w:color w:val="auto"/>
          <w:szCs w:val="21"/>
          <w:highlight w:val="none"/>
        </w:rPr>
        <w:t>要</w:t>
      </w:r>
      <w:r>
        <w:rPr>
          <w:rFonts w:ascii="宋体" w:hAnsi="宋体"/>
          <w:color w:val="auto"/>
          <w:szCs w:val="21"/>
          <w:highlight w:val="none"/>
        </w:rPr>
        <w:t>）</w:t>
      </w:r>
      <w:r>
        <w:rPr>
          <w:rFonts w:hint="eastAsia" w:ascii="宋体" w:hAnsi="宋体"/>
          <w:color w:val="auto"/>
          <w:szCs w:val="21"/>
          <w:highlight w:val="none"/>
        </w:rPr>
        <w:t>尽快根据本合同约定的质量标准对产品进行最终验收，如有任何异议，应及时向</w:t>
      </w:r>
      <w:r>
        <w:rPr>
          <w:rFonts w:hint="eastAsia" w:ascii="宋体" w:hAnsi="宋体"/>
          <w:color w:val="auto"/>
          <w:szCs w:val="21"/>
          <w:highlight w:val="none"/>
          <w:lang w:eastAsia="zh-CN"/>
        </w:rPr>
        <w:t>乙方</w:t>
      </w:r>
      <w:r>
        <w:rPr>
          <w:rFonts w:hint="eastAsia" w:ascii="宋体" w:hAnsi="宋体"/>
          <w:color w:val="auto"/>
          <w:szCs w:val="21"/>
          <w:highlight w:val="none"/>
        </w:rPr>
        <w:t>提出，</w:t>
      </w:r>
      <w:r>
        <w:rPr>
          <w:rFonts w:hint="eastAsia" w:ascii="宋体" w:hAnsi="宋体"/>
          <w:color w:val="auto"/>
          <w:szCs w:val="21"/>
          <w:highlight w:val="none"/>
          <w:lang w:eastAsia="zh-CN"/>
        </w:rPr>
        <w:t>乙方</w:t>
      </w:r>
      <w:r>
        <w:rPr>
          <w:rFonts w:hint="eastAsia" w:ascii="宋体" w:hAnsi="宋体"/>
          <w:color w:val="auto"/>
          <w:szCs w:val="21"/>
          <w:highlight w:val="none"/>
        </w:rPr>
        <w:t>应当在收到</w:t>
      </w:r>
      <w:r>
        <w:rPr>
          <w:rFonts w:hint="eastAsia" w:ascii="宋体" w:hAnsi="宋体"/>
          <w:color w:val="auto"/>
          <w:szCs w:val="21"/>
          <w:highlight w:val="none"/>
          <w:lang w:eastAsia="zh-CN"/>
        </w:rPr>
        <w:t>甲方</w:t>
      </w:r>
      <w:r>
        <w:rPr>
          <w:rFonts w:hint="eastAsia" w:ascii="宋体" w:hAnsi="宋体"/>
          <w:color w:val="auto"/>
          <w:szCs w:val="21"/>
          <w:highlight w:val="none"/>
        </w:rPr>
        <w:t>异议通知后五（</w:t>
      </w:r>
      <w:r>
        <w:rPr>
          <w:rFonts w:ascii="宋体" w:hAnsi="宋体"/>
          <w:color w:val="auto"/>
          <w:szCs w:val="21"/>
          <w:highlight w:val="none"/>
        </w:rPr>
        <w:t>5）个工作日内根据</w:t>
      </w:r>
      <w:r>
        <w:rPr>
          <w:rFonts w:hint="eastAsia" w:ascii="宋体" w:hAnsi="宋体"/>
          <w:color w:val="auto"/>
          <w:szCs w:val="21"/>
          <w:highlight w:val="none"/>
          <w:lang w:eastAsia="zh-CN"/>
        </w:rPr>
        <w:t>甲方</w:t>
      </w:r>
      <w:r>
        <w:rPr>
          <w:rFonts w:ascii="宋体" w:hAnsi="宋体"/>
          <w:color w:val="auto"/>
          <w:szCs w:val="21"/>
          <w:highlight w:val="none"/>
        </w:rPr>
        <w:t>的指示进行补足或更换，否则视为</w:t>
      </w:r>
      <w:r>
        <w:rPr>
          <w:rFonts w:hint="eastAsia" w:ascii="宋体" w:hAnsi="宋体"/>
          <w:color w:val="auto"/>
          <w:szCs w:val="21"/>
          <w:highlight w:val="none"/>
          <w:lang w:eastAsia="zh-CN"/>
        </w:rPr>
        <w:t>乙方</w:t>
      </w:r>
      <w:r>
        <w:rPr>
          <w:rFonts w:ascii="宋体" w:hAnsi="宋体"/>
          <w:color w:val="auto"/>
          <w:szCs w:val="21"/>
          <w:highlight w:val="none"/>
        </w:rPr>
        <w:t>交付的产品不符合本合同约定</w:t>
      </w:r>
      <w:r>
        <w:rPr>
          <w:rFonts w:hint="eastAsia" w:ascii="宋体" w:hAnsi="宋体"/>
          <w:color w:val="auto"/>
          <w:szCs w:val="21"/>
          <w:highlight w:val="none"/>
        </w:rPr>
        <w:t>。</w:t>
      </w:r>
      <w:r>
        <w:rPr>
          <w:rFonts w:hint="eastAsia" w:ascii="宋体" w:hAnsi="宋体"/>
          <w:color w:val="auto"/>
          <w:szCs w:val="21"/>
          <w:highlight w:val="none"/>
          <w:lang w:eastAsia="zh-CN"/>
        </w:rPr>
        <w:t>乙方</w:t>
      </w:r>
      <w:r>
        <w:rPr>
          <w:rFonts w:hint="eastAsia" w:ascii="宋体" w:hAnsi="宋体"/>
          <w:color w:val="auto"/>
          <w:szCs w:val="21"/>
          <w:highlight w:val="none"/>
        </w:rPr>
        <w:t>应积极与</w:t>
      </w:r>
      <w:r>
        <w:rPr>
          <w:rFonts w:hint="eastAsia" w:ascii="宋体" w:hAnsi="宋体"/>
          <w:color w:val="auto"/>
          <w:szCs w:val="21"/>
          <w:highlight w:val="none"/>
          <w:lang w:eastAsia="zh-CN"/>
        </w:rPr>
        <w:t>甲方</w:t>
      </w:r>
      <w:r>
        <w:rPr>
          <w:rFonts w:hint="eastAsia" w:ascii="宋体" w:hAnsi="宋体"/>
          <w:color w:val="auto"/>
          <w:szCs w:val="21"/>
          <w:highlight w:val="none"/>
        </w:rPr>
        <w:t>联系，共同签署《验收单》。</w:t>
      </w:r>
    </w:p>
    <w:p w14:paraId="7488F327">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eastAsia="zh-CN"/>
        </w:rPr>
        <w:t>五、</w:t>
      </w:r>
      <w:r>
        <w:rPr>
          <w:rFonts w:hint="eastAsia" w:ascii="宋体" w:hAnsi="宋体" w:cs="Times New Roman"/>
          <w:b/>
          <w:color w:val="auto"/>
          <w:kern w:val="2"/>
          <w:sz w:val="21"/>
          <w:szCs w:val="21"/>
          <w:highlight w:val="none"/>
          <w:u w:val="none"/>
          <w:lang w:eastAsia="zh-CN"/>
        </w:rPr>
        <w:t>质量、权利保证和保修</w:t>
      </w:r>
    </w:p>
    <w:p w14:paraId="4F3EF3B1">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乙方</w:t>
      </w:r>
      <w:r>
        <w:rPr>
          <w:rFonts w:hint="eastAsia" w:ascii="宋体" w:hAnsi="宋体"/>
          <w:color w:val="auto"/>
          <w:szCs w:val="21"/>
          <w:highlight w:val="none"/>
        </w:rPr>
        <w:t>在此承诺，其向</w:t>
      </w:r>
      <w:r>
        <w:rPr>
          <w:rFonts w:hint="eastAsia" w:ascii="宋体" w:hAnsi="宋体"/>
          <w:color w:val="auto"/>
          <w:szCs w:val="21"/>
          <w:highlight w:val="none"/>
          <w:lang w:eastAsia="zh-CN"/>
        </w:rPr>
        <w:t>甲方</w:t>
      </w:r>
      <w:r>
        <w:rPr>
          <w:rFonts w:hint="eastAsia" w:ascii="宋体" w:hAnsi="宋体"/>
          <w:color w:val="auto"/>
          <w:szCs w:val="21"/>
          <w:highlight w:val="none"/>
        </w:rPr>
        <w:t>提供的合同产品是全新、完整、未经使用</w:t>
      </w:r>
      <w:r>
        <w:rPr>
          <w:rFonts w:hint="eastAsia" w:ascii="宋体" w:hAnsi="宋体"/>
          <w:color w:val="auto"/>
          <w:szCs w:val="21"/>
          <w:highlight w:val="none"/>
          <w:lang w:eastAsia="zh-CN"/>
        </w:rPr>
        <w:t>。乙方</w:t>
      </w:r>
      <w:r>
        <w:rPr>
          <w:rFonts w:ascii="宋体" w:hAnsi="宋体"/>
          <w:color w:val="auto"/>
          <w:szCs w:val="21"/>
          <w:highlight w:val="none"/>
        </w:rPr>
        <w:t>承诺于</w:t>
      </w:r>
      <w:r>
        <w:rPr>
          <w:rFonts w:hint="eastAsia" w:ascii="宋体" w:hAnsi="宋体"/>
          <w:color w:val="auto"/>
          <w:szCs w:val="21"/>
          <w:highlight w:val="none"/>
          <w:lang w:eastAsia="zh-CN"/>
        </w:rPr>
        <w:t>甲方</w:t>
      </w:r>
      <w:r>
        <w:rPr>
          <w:rFonts w:ascii="宋体" w:hAnsi="宋体"/>
          <w:color w:val="auto"/>
          <w:szCs w:val="21"/>
          <w:highlight w:val="none"/>
        </w:rPr>
        <w:t>使用合同产品期间将不受任何第三方提出侵犯知识产权之诉讼。如任何第三方向</w:t>
      </w:r>
      <w:r>
        <w:rPr>
          <w:rFonts w:hint="eastAsia" w:ascii="宋体" w:hAnsi="宋体"/>
          <w:color w:val="auto"/>
          <w:szCs w:val="21"/>
          <w:highlight w:val="none"/>
          <w:lang w:eastAsia="zh-CN"/>
        </w:rPr>
        <w:t>甲方</w:t>
      </w:r>
      <w:r>
        <w:rPr>
          <w:rFonts w:ascii="宋体" w:hAnsi="宋体"/>
          <w:color w:val="auto"/>
          <w:szCs w:val="21"/>
          <w:highlight w:val="none"/>
        </w:rPr>
        <w:t>提起侵权指控，</w:t>
      </w:r>
      <w:r>
        <w:rPr>
          <w:rFonts w:hint="eastAsia" w:ascii="宋体" w:hAnsi="宋体"/>
          <w:color w:val="auto"/>
          <w:szCs w:val="21"/>
          <w:highlight w:val="none"/>
          <w:lang w:eastAsia="zh-CN"/>
        </w:rPr>
        <w:t>乙方</w:t>
      </w:r>
      <w:r>
        <w:rPr>
          <w:rFonts w:ascii="宋体" w:hAnsi="宋体"/>
          <w:color w:val="auto"/>
          <w:szCs w:val="21"/>
          <w:highlight w:val="none"/>
        </w:rPr>
        <w:t>须与第三方交涉并承担可能发生的法律责任和费用，包括为</w:t>
      </w:r>
      <w:r>
        <w:rPr>
          <w:rFonts w:hint="eastAsia" w:ascii="宋体" w:hAnsi="宋体"/>
          <w:color w:val="auto"/>
          <w:szCs w:val="21"/>
          <w:highlight w:val="none"/>
          <w:lang w:eastAsia="zh-CN"/>
        </w:rPr>
        <w:t>甲方</w:t>
      </w:r>
      <w:r>
        <w:rPr>
          <w:rFonts w:ascii="宋体" w:hAnsi="宋体"/>
          <w:color w:val="auto"/>
          <w:szCs w:val="21"/>
          <w:highlight w:val="none"/>
        </w:rPr>
        <w:t>委托律师、应诉费用及最终须承担的侵权赔偿费用。如由于上述瑕疵，</w:t>
      </w:r>
      <w:r>
        <w:rPr>
          <w:rFonts w:hint="eastAsia" w:ascii="宋体" w:hAnsi="宋体"/>
          <w:color w:val="auto"/>
          <w:szCs w:val="21"/>
          <w:highlight w:val="none"/>
          <w:lang w:eastAsia="zh-CN"/>
        </w:rPr>
        <w:t>甲方</w:t>
      </w:r>
      <w:r>
        <w:rPr>
          <w:rFonts w:ascii="宋体" w:hAnsi="宋体"/>
          <w:color w:val="auto"/>
          <w:szCs w:val="21"/>
          <w:highlight w:val="none"/>
        </w:rPr>
        <w:t>需向任何第三方实施赔礼道歉等可能给</w:t>
      </w:r>
      <w:r>
        <w:rPr>
          <w:rFonts w:hint="eastAsia" w:ascii="宋体" w:hAnsi="宋体"/>
          <w:color w:val="auto"/>
          <w:szCs w:val="21"/>
          <w:highlight w:val="none"/>
          <w:lang w:eastAsia="zh-CN"/>
        </w:rPr>
        <w:t>甲方</w:t>
      </w:r>
      <w:r>
        <w:rPr>
          <w:rFonts w:ascii="宋体" w:hAnsi="宋体"/>
          <w:color w:val="auto"/>
          <w:szCs w:val="21"/>
          <w:highlight w:val="none"/>
        </w:rPr>
        <w:t>名誉造成损失的行为，</w:t>
      </w:r>
      <w:r>
        <w:rPr>
          <w:rFonts w:hint="eastAsia" w:ascii="宋体" w:hAnsi="宋体"/>
          <w:color w:val="auto"/>
          <w:szCs w:val="21"/>
          <w:highlight w:val="none"/>
          <w:lang w:eastAsia="zh-CN"/>
        </w:rPr>
        <w:t>乙方</w:t>
      </w:r>
      <w:r>
        <w:rPr>
          <w:rFonts w:ascii="宋体" w:hAnsi="宋体"/>
          <w:color w:val="auto"/>
          <w:szCs w:val="21"/>
          <w:highlight w:val="none"/>
        </w:rPr>
        <w:t>应与第三</w:t>
      </w:r>
      <w:r>
        <w:rPr>
          <w:rFonts w:hint="eastAsia" w:ascii="宋体" w:hAnsi="宋体"/>
          <w:color w:val="auto"/>
          <w:szCs w:val="21"/>
          <w:highlight w:val="none"/>
        </w:rPr>
        <w:t>方积极协商，由</w:t>
      </w:r>
      <w:r>
        <w:rPr>
          <w:rFonts w:hint="eastAsia" w:ascii="宋体" w:hAnsi="宋体"/>
          <w:color w:val="auto"/>
          <w:szCs w:val="21"/>
          <w:highlight w:val="none"/>
          <w:lang w:eastAsia="zh-CN"/>
        </w:rPr>
        <w:t>乙方</w:t>
      </w:r>
      <w:r>
        <w:rPr>
          <w:rFonts w:hint="eastAsia" w:ascii="宋体" w:hAnsi="宋体"/>
          <w:color w:val="auto"/>
          <w:szCs w:val="21"/>
          <w:highlight w:val="none"/>
        </w:rPr>
        <w:t>另行采用其他赔偿方式予以替代。如因此导致</w:t>
      </w:r>
      <w:r>
        <w:rPr>
          <w:rFonts w:hint="eastAsia" w:ascii="宋体" w:hAnsi="宋体"/>
          <w:color w:val="auto"/>
          <w:szCs w:val="21"/>
          <w:highlight w:val="none"/>
          <w:lang w:eastAsia="zh-CN"/>
        </w:rPr>
        <w:t>甲方</w:t>
      </w:r>
      <w:r>
        <w:rPr>
          <w:rFonts w:hint="eastAsia" w:ascii="宋体" w:hAnsi="宋体"/>
          <w:color w:val="auto"/>
          <w:szCs w:val="21"/>
          <w:highlight w:val="none"/>
        </w:rPr>
        <w:t>无法继续使用合同产品，</w:t>
      </w:r>
      <w:r>
        <w:rPr>
          <w:rFonts w:hint="eastAsia" w:ascii="宋体" w:hAnsi="宋体"/>
          <w:color w:val="auto"/>
          <w:szCs w:val="21"/>
          <w:highlight w:val="none"/>
          <w:lang w:eastAsia="zh-CN"/>
        </w:rPr>
        <w:t>乙方</w:t>
      </w:r>
      <w:r>
        <w:rPr>
          <w:rFonts w:hint="eastAsia" w:ascii="宋体" w:hAnsi="宋体"/>
          <w:color w:val="auto"/>
          <w:szCs w:val="21"/>
          <w:highlight w:val="none"/>
        </w:rPr>
        <w:t>应及时提供相应替代品或使</w:t>
      </w:r>
      <w:r>
        <w:rPr>
          <w:rFonts w:hint="eastAsia" w:ascii="宋体" w:hAnsi="宋体"/>
          <w:color w:val="auto"/>
          <w:szCs w:val="21"/>
          <w:highlight w:val="none"/>
          <w:lang w:eastAsia="zh-CN"/>
        </w:rPr>
        <w:t>甲方</w:t>
      </w:r>
      <w:r>
        <w:rPr>
          <w:rFonts w:hint="eastAsia" w:ascii="宋体" w:hAnsi="宋体"/>
          <w:color w:val="auto"/>
          <w:szCs w:val="21"/>
          <w:highlight w:val="none"/>
        </w:rPr>
        <w:t>于限期内重新获得使用许可，并按照本合同通用条款第八条之约定向</w:t>
      </w:r>
      <w:r>
        <w:rPr>
          <w:rFonts w:hint="eastAsia" w:ascii="宋体" w:hAnsi="宋体"/>
          <w:color w:val="auto"/>
          <w:szCs w:val="21"/>
          <w:highlight w:val="none"/>
          <w:lang w:eastAsia="zh-CN"/>
        </w:rPr>
        <w:t>甲方</w:t>
      </w:r>
      <w:r>
        <w:rPr>
          <w:rFonts w:hint="eastAsia" w:ascii="宋体" w:hAnsi="宋体"/>
          <w:color w:val="auto"/>
          <w:szCs w:val="21"/>
          <w:highlight w:val="none"/>
        </w:rPr>
        <w:t>承担因无法使用合同产品所造成的全部赔偿责任。</w:t>
      </w:r>
    </w:p>
    <w:p w14:paraId="06B2E7B6">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w:t>
      </w:r>
      <w:r>
        <w:rPr>
          <w:rFonts w:ascii="宋体" w:hAnsi="宋体"/>
          <w:color w:val="auto"/>
          <w:szCs w:val="21"/>
          <w:highlight w:val="none"/>
        </w:rPr>
        <w:t>同产品的质量标准</w:t>
      </w:r>
    </w:p>
    <w:p w14:paraId="7E6DBA36">
      <w:pPr>
        <w:widowControl w:val="0"/>
        <w:autoSpaceDE w:val="0"/>
        <w:autoSpaceDN w:val="0"/>
        <w:adjustRightInd w:val="0"/>
        <w:snapToGrid w:val="0"/>
        <w:spacing w:before="120" w:after="0" w:line="360" w:lineRule="exact"/>
        <w:ind w:right="-16" w:firstLine="420" w:firstLineChars="200"/>
        <w:jc w:val="both"/>
        <w:rPr>
          <w:rFonts w:ascii="宋体" w:hAnsi="宋体" w:cs="宋体"/>
          <w:color w:val="auto"/>
          <w:sz w:val="21"/>
          <w:szCs w:val="21"/>
          <w:highlight w:val="none"/>
          <w:lang w:eastAsia="zh-CN"/>
        </w:rPr>
      </w:pPr>
      <w:r>
        <w:rPr>
          <w:rFonts w:hint="eastAsia" w:ascii="宋体" w:hAnsi="宋体" w:cs="Times New Roman"/>
          <w:color w:val="auto"/>
          <w:kern w:val="2"/>
          <w:sz w:val="21"/>
          <w:szCs w:val="21"/>
          <w:highlight w:val="none"/>
          <w:lang w:eastAsia="zh-CN"/>
        </w:rPr>
        <w:t>如双方对产品质量标准未做特别约定的，合同产品质量标准适用下列较高的技术和质量标准：</w:t>
      </w:r>
      <w:r>
        <w:rPr>
          <w:rFonts w:hint="eastAsia" w:ascii="宋体" w:hAnsi="宋体" w:cs="宋体"/>
          <w:color w:val="auto"/>
          <w:sz w:val="21"/>
          <w:szCs w:val="21"/>
          <w:highlight w:val="none"/>
          <w:lang w:eastAsia="zh-CN"/>
        </w:rPr>
        <w:t>同类产品国家标准；同类产品部颁标准；同类产品行业标准；乙方</w:t>
      </w:r>
      <w:r>
        <w:rPr>
          <w:rFonts w:ascii="宋体" w:hAnsi="宋体" w:cs="宋体"/>
          <w:color w:val="auto"/>
          <w:sz w:val="21"/>
          <w:szCs w:val="21"/>
          <w:highlight w:val="none"/>
          <w:lang w:eastAsia="zh-CN"/>
        </w:rPr>
        <w:t>提供的</w:t>
      </w:r>
      <w:r>
        <w:rPr>
          <w:rFonts w:hint="eastAsia" w:ascii="宋体" w:hAnsi="宋体" w:cs="Times New Roman"/>
          <w:color w:val="auto"/>
          <w:kern w:val="2"/>
          <w:sz w:val="21"/>
          <w:szCs w:val="21"/>
          <w:highlight w:val="none"/>
          <w:lang w:eastAsia="zh-CN"/>
        </w:rPr>
        <w:t>产品标准或技术参数；</w:t>
      </w:r>
      <w:r>
        <w:rPr>
          <w:rFonts w:hint="eastAsia" w:ascii="宋体" w:hAnsi="宋体" w:cs="宋体"/>
          <w:color w:val="auto"/>
          <w:sz w:val="21"/>
          <w:szCs w:val="21"/>
          <w:highlight w:val="none"/>
          <w:lang w:eastAsia="zh-CN"/>
        </w:rPr>
        <w:t>没有上述标准或虽有上述标准，但双方同意按双方</w:t>
      </w:r>
      <w:r>
        <w:rPr>
          <w:rFonts w:ascii="宋体" w:hAnsi="宋体" w:cs="宋体"/>
          <w:color w:val="auto"/>
          <w:sz w:val="21"/>
          <w:szCs w:val="21"/>
          <w:highlight w:val="none"/>
          <w:lang w:eastAsia="zh-CN"/>
        </w:rPr>
        <w:t>另行</w:t>
      </w:r>
      <w:r>
        <w:rPr>
          <w:rFonts w:hint="eastAsia" w:ascii="宋体" w:hAnsi="宋体" w:cs="宋体"/>
          <w:color w:val="auto"/>
          <w:sz w:val="21"/>
          <w:szCs w:val="21"/>
          <w:highlight w:val="none"/>
          <w:lang w:eastAsia="zh-CN"/>
        </w:rPr>
        <w:t>确定</w:t>
      </w:r>
      <w:r>
        <w:rPr>
          <w:rFonts w:ascii="宋体" w:hAnsi="宋体" w:cs="宋体"/>
          <w:color w:val="auto"/>
          <w:sz w:val="21"/>
          <w:szCs w:val="21"/>
          <w:highlight w:val="none"/>
          <w:lang w:eastAsia="zh-CN"/>
        </w:rPr>
        <w:t>的</w:t>
      </w:r>
      <w:r>
        <w:rPr>
          <w:rFonts w:hint="eastAsia" w:ascii="宋体" w:hAnsi="宋体" w:cs="宋体"/>
          <w:color w:val="auto"/>
          <w:sz w:val="21"/>
          <w:szCs w:val="21"/>
          <w:highlight w:val="none"/>
          <w:lang w:eastAsia="zh-CN"/>
        </w:rPr>
        <w:t>文件约定的标准。</w:t>
      </w:r>
    </w:p>
    <w:p w14:paraId="505D13BD">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乙方</w:t>
      </w:r>
      <w:r>
        <w:rPr>
          <w:rFonts w:hint="eastAsia" w:ascii="宋体" w:hAnsi="宋体" w:cs="Arial"/>
          <w:color w:val="auto"/>
          <w:szCs w:val="21"/>
          <w:highlight w:val="none"/>
        </w:rPr>
        <w:t>承诺于正确安装、正常使用和经维修情况下，产品在本合同所列明质保期内始终是良好的、可正常使用的。</w:t>
      </w:r>
    </w:p>
    <w:p w14:paraId="1D20CFD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质保/</w:t>
      </w:r>
      <w:r>
        <w:rPr>
          <w:rFonts w:hint="eastAsia" w:ascii="宋体" w:hAnsi="宋体"/>
          <w:color w:val="auto"/>
          <w:szCs w:val="21"/>
          <w:highlight w:val="none"/>
        </w:rPr>
        <w:t>保修：</w:t>
      </w:r>
    </w:p>
    <w:p w14:paraId="18AE25B1">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质保期自产品最终验收之日起算</w:t>
      </w:r>
      <w:r>
        <w:rPr>
          <w:rFonts w:ascii="宋体" w:hAnsi="宋体"/>
          <w:color w:val="auto"/>
          <w:szCs w:val="21"/>
          <w:highlight w:val="none"/>
        </w:rPr>
        <w:t>。</w:t>
      </w:r>
      <w:r>
        <w:rPr>
          <w:rFonts w:hint="eastAsia" w:ascii="宋体" w:hAnsi="宋体"/>
          <w:color w:val="auto"/>
          <w:szCs w:val="21"/>
          <w:highlight w:val="none"/>
        </w:rPr>
        <w:t>质保期内，如生产厂家不提供质保服务的，由</w:t>
      </w:r>
      <w:r>
        <w:rPr>
          <w:rFonts w:hint="eastAsia" w:ascii="宋体" w:hAnsi="宋体"/>
          <w:color w:val="auto"/>
          <w:szCs w:val="21"/>
          <w:highlight w:val="none"/>
          <w:lang w:eastAsia="zh-CN"/>
        </w:rPr>
        <w:t>乙方</w:t>
      </w:r>
      <w:r>
        <w:rPr>
          <w:rFonts w:hint="eastAsia" w:ascii="宋体" w:hAnsi="宋体"/>
          <w:color w:val="auto"/>
          <w:szCs w:val="21"/>
          <w:highlight w:val="none"/>
        </w:rPr>
        <w:t>提供质保服务。</w:t>
      </w:r>
    </w:p>
    <w:p w14:paraId="06117E1E">
      <w:pPr>
        <w:pStyle w:val="21"/>
        <w:numPr>
          <w:ilvl w:val="0"/>
          <w:numId w:val="8"/>
        </w:numPr>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产品质保期内</w:t>
      </w:r>
      <w:r>
        <w:rPr>
          <w:rFonts w:ascii="宋体" w:hAnsi="宋体" w:cs="Arial"/>
          <w:color w:val="auto"/>
          <w:szCs w:val="21"/>
          <w:highlight w:val="none"/>
        </w:rPr>
        <w:t>，除非</w:t>
      </w:r>
      <w:r>
        <w:rPr>
          <w:rFonts w:hint="eastAsia" w:ascii="宋体" w:hAnsi="宋体" w:cs="Arial"/>
          <w:color w:val="auto"/>
          <w:szCs w:val="21"/>
          <w:highlight w:val="none"/>
          <w:lang w:eastAsia="zh-CN"/>
        </w:rPr>
        <w:t>乙方</w:t>
      </w:r>
      <w:r>
        <w:rPr>
          <w:rFonts w:ascii="宋体" w:hAnsi="宋体" w:cs="Arial"/>
          <w:color w:val="auto"/>
          <w:szCs w:val="21"/>
          <w:highlight w:val="none"/>
        </w:rPr>
        <w:t>证明系因</w:t>
      </w:r>
      <w:r>
        <w:rPr>
          <w:rFonts w:hint="eastAsia" w:ascii="宋体" w:hAnsi="宋体" w:cs="Arial"/>
          <w:color w:val="auto"/>
          <w:szCs w:val="21"/>
          <w:highlight w:val="none"/>
          <w:lang w:eastAsia="zh-CN"/>
        </w:rPr>
        <w:t>甲方</w:t>
      </w:r>
      <w:r>
        <w:rPr>
          <w:rFonts w:ascii="宋体" w:hAnsi="宋体" w:cs="Arial"/>
          <w:color w:val="auto"/>
          <w:szCs w:val="21"/>
          <w:highlight w:val="none"/>
        </w:rPr>
        <w:t>使用不当或第三人故意破坏，</w:t>
      </w:r>
      <w:r>
        <w:rPr>
          <w:rFonts w:hint="eastAsia" w:ascii="宋体" w:hAnsi="宋体" w:cs="Arial"/>
          <w:color w:val="auto"/>
          <w:szCs w:val="21"/>
          <w:highlight w:val="none"/>
          <w:lang w:eastAsia="zh-CN"/>
        </w:rPr>
        <w:t>乙方</w:t>
      </w:r>
      <w:r>
        <w:rPr>
          <w:rFonts w:ascii="宋体" w:hAnsi="宋体" w:cs="Arial"/>
          <w:color w:val="auto"/>
          <w:szCs w:val="21"/>
          <w:highlight w:val="none"/>
        </w:rPr>
        <w:t>应免费维修或更换发生故障或损坏之产品。</w:t>
      </w:r>
    </w:p>
    <w:p w14:paraId="37A9C979">
      <w:pPr>
        <w:pStyle w:val="21"/>
        <w:numPr>
          <w:ilvl w:val="0"/>
          <w:numId w:val="8"/>
        </w:numPr>
        <w:tabs>
          <w:tab w:val="left" w:pos="709"/>
        </w:tabs>
        <w:spacing w:before="120" w:line="360" w:lineRule="exact"/>
        <w:ind w:left="709" w:hanging="709" w:firstLineChars="0"/>
        <w:rPr>
          <w:rFonts w:ascii="宋体" w:hAnsi="宋体"/>
          <w:color w:val="auto"/>
          <w:szCs w:val="21"/>
          <w:highlight w:val="none"/>
        </w:rPr>
      </w:pPr>
      <w:r>
        <w:rPr>
          <w:rFonts w:hint="eastAsia" w:ascii="宋体" w:hAnsi="宋体" w:cs="Arial"/>
          <w:color w:val="auto"/>
          <w:szCs w:val="21"/>
          <w:highlight w:val="none"/>
        </w:rPr>
        <w:t>产品应附所有易损件清单、价格及更换周期等相关信息，并于质保期内负责免费保养及更换清单所列的零部件。</w:t>
      </w:r>
    </w:p>
    <w:p w14:paraId="381BACC9">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响应</w:t>
      </w:r>
      <w:r>
        <w:rPr>
          <w:rFonts w:ascii="宋体" w:hAnsi="宋体"/>
          <w:color w:val="auto"/>
          <w:szCs w:val="21"/>
          <w:highlight w:val="none"/>
        </w:rPr>
        <w:t xml:space="preserve"> </w:t>
      </w:r>
    </w:p>
    <w:p w14:paraId="1072FBA3">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在接到</w:t>
      </w:r>
      <w:r>
        <w:rPr>
          <w:rFonts w:hint="eastAsia" w:ascii="宋体" w:hAnsi="宋体"/>
          <w:color w:val="auto"/>
          <w:szCs w:val="21"/>
          <w:highlight w:val="none"/>
          <w:lang w:eastAsia="zh-CN"/>
        </w:rPr>
        <w:t>甲方</w:t>
      </w:r>
      <w:r>
        <w:rPr>
          <w:rFonts w:ascii="宋体" w:hAnsi="宋体"/>
          <w:color w:val="auto"/>
          <w:szCs w:val="21"/>
          <w:highlight w:val="none"/>
        </w:rPr>
        <w:t>报修</w:t>
      </w:r>
      <w:r>
        <w:rPr>
          <w:rFonts w:hint="eastAsia" w:ascii="宋体" w:hAnsi="宋体"/>
          <w:color w:val="auto"/>
          <w:szCs w:val="21"/>
          <w:highlight w:val="none"/>
        </w:rPr>
        <w:t>通知后</w:t>
      </w:r>
      <w:r>
        <w:rPr>
          <w:rFonts w:ascii="宋体" w:hAnsi="宋体"/>
          <w:color w:val="auto"/>
          <w:szCs w:val="21"/>
          <w:highlight w:val="none"/>
        </w:rPr>
        <w:t>24</w:t>
      </w:r>
      <w:r>
        <w:rPr>
          <w:rFonts w:hint="eastAsia" w:ascii="宋体" w:hAnsi="宋体"/>
          <w:color w:val="auto"/>
          <w:szCs w:val="21"/>
          <w:highlight w:val="none"/>
        </w:rPr>
        <w:t>小时内响应；</w:t>
      </w:r>
      <w:r>
        <w:rPr>
          <w:rFonts w:ascii="宋体" w:hAnsi="宋体"/>
          <w:color w:val="auto"/>
          <w:szCs w:val="21"/>
          <w:highlight w:val="none"/>
        </w:rPr>
        <w:t xml:space="preserve"> </w:t>
      </w:r>
    </w:p>
    <w:p w14:paraId="51EF5CFE">
      <w:pPr>
        <w:pStyle w:val="21"/>
        <w:numPr>
          <w:ilvl w:val="0"/>
          <w:numId w:val="9"/>
        </w:numPr>
        <w:spacing w:before="120" w:line="360" w:lineRule="exact"/>
        <w:ind w:left="709" w:hanging="709" w:firstLineChars="0"/>
        <w:rPr>
          <w:rFonts w:ascii="宋体" w:hAnsi="宋体"/>
          <w:color w:val="auto"/>
          <w:szCs w:val="21"/>
          <w:highlight w:val="none"/>
        </w:rPr>
      </w:pPr>
      <w:r>
        <w:rPr>
          <w:rFonts w:hint="eastAsia" w:ascii="宋体" w:hAnsi="宋体"/>
          <w:color w:val="auto"/>
          <w:szCs w:val="21"/>
          <w:highlight w:val="none"/>
        </w:rPr>
        <w:t>产品未及时得到维修，导致不能正常工作而影响</w:t>
      </w:r>
      <w:r>
        <w:rPr>
          <w:rFonts w:hint="eastAsia" w:ascii="宋体" w:hAnsi="宋体"/>
          <w:color w:val="auto"/>
          <w:szCs w:val="21"/>
          <w:highlight w:val="none"/>
          <w:lang w:eastAsia="zh-CN"/>
        </w:rPr>
        <w:t>甲方</w:t>
      </w:r>
      <w:r>
        <w:rPr>
          <w:rFonts w:hint="eastAsia" w:ascii="宋体" w:hAnsi="宋体"/>
          <w:color w:val="auto"/>
          <w:szCs w:val="21"/>
          <w:highlight w:val="none"/>
        </w:rPr>
        <w:t>使用和生产的，</w:t>
      </w:r>
      <w:r>
        <w:rPr>
          <w:rFonts w:hint="eastAsia" w:ascii="宋体" w:hAnsi="宋体"/>
          <w:color w:val="auto"/>
          <w:szCs w:val="21"/>
          <w:highlight w:val="none"/>
          <w:lang w:eastAsia="zh-CN"/>
        </w:rPr>
        <w:t>甲方</w:t>
      </w:r>
      <w:r>
        <w:rPr>
          <w:rFonts w:hint="eastAsia" w:ascii="宋体" w:hAnsi="宋体"/>
          <w:color w:val="auto"/>
          <w:szCs w:val="21"/>
          <w:highlight w:val="none"/>
        </w:rPr>
        <w:t>有权委托第三方维修，所产生的维修费用由</w:t>
      </w:r>
      <w:r>
        <w:rPr>
          <w:rFonts w:hint="eastAsia" w:ascii="宋体" w:hAnsi="宋体"/>
          <w:color w:val="auto"/>
          <w:szCs w:val="21"/>
          <w:highlight w:val="none"/>
          <w:lang w:eastAsia="zh-CN"/>
        </w:rPr>
        <w:t>乙方</w:t>
      </w:r>
      <w:r>
        <w:rPr>
          <w:rFonts w:hint="eastAsia" w:ascii="宋体" w:hAnsi="宋体"/>
          <w:color w:val="auto"/>
          <w:szCs w:val="21"/>
          <w:highlight w:val="none"/>
        </w:rPr>
        <w:t>承担。</w:t>
      </w:r>
    </w:p>
    <w:p w14:paraId="1DB56949">
      <w:pPr>
        <w:pStyle w:val="21"/>
        <w:numPr>
          <w:ilvl w:val="0"/>
          <w:numId w:val="0"/>
        </w:numPr>
        <w:spacing w:before="120" w:line="360" w:lineRule="exact"/>
        <w:ind w:firstLine="420" w:firstLineChars="200"/>
        <w:rPr>
          <w:rFonts w:ascii="宋体" w:hAnsi="宋体" w:cs="Arial"/>
          <w:color w:val="auto"/>
          <w:szCs w:val="21"/>
          <w:highlight w:val="none"/>
        </w:rPr>
      </w:pPr>
      <w:r>
        <w:rPr>
          <w:rFonts w:hint="eastAsia" w:ascii="宋体" w:hAnsi="宋体" w:cs="Arial"/>
          <w:color w:val="auto"/>
          <w:szCs w:val="21"/>
          <w:highlight w:val="none"/>
          <w:lang w:val="en-US" w:eastAsia="zh-CN"/>
        </w:rPr>
        <w:t>6、</w:t>
      </w:r>
      <w:r>
        <w:rPr>
          <w:rFonts w:hint="eastAsia" w:ascii="宋体" w:hAnsi="宋体" w:cs="Arial"/>
          <w:color w:val="auto"/>
          <w:szCs w:val="21"/>
          <w:highlight w:val="none"/>
        </w:rPr>
        <w:t>缺陷处理：</w:t>
      </w:r>
    </w:p>
    <w:p w14:paraId="1F601E81">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在</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内，若发现产品存有任何缺陷，</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应在收到</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发出书面</w:t>
      </w:r>
      <w:r>
        <w:rPr>
          <w:rFonts w:ascii="宋体" w:hAnsi="宋体" w:cs="Arial"/>
          <w:color w:val="auto"/>
          <w:szCs w:val="21"/>
          <w:highlight w:val="none"/>
        </w:rPr>
        <w:t>通知</w:t>
      </w:r>
      <w:r>
        <w:rPr>
          <w:rFonts w:hint="eastAsia" w:ascii="宋体" w:hAnsi="宋体" w:cs="Arial"/>
          <w:color w:val="auto"/>
          <w:szCs w:val="21"/>
          <w:highlight w:val="none"/>
        </w:rPr>
        <w:t>所列更换需求后合理时间内进行更换。</w:t>
      </w:r>
    </w:p>
    <w:p w14:paraId="2E8D7DE3">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若上述缺陷，系由于合同产品所使用基础材料或生产技术不符合本合同约定</w:t>
      </w:r>
      <w:r>
        <w:rPr>
          <w:rFonts w:ascii="宋体" w:hAnsi="宋体" w:cs="Arial"/>
          <w:color w:val="auto"/>
          <w:szCs w:val="21"/>
          <w:highlight w:val="none"/>
        </w:rPr>
        <w:t>/行业规定，或是由于</w:t>
      </w:r>
      <w:r>
        <w:rPr>
          <w:rFonts w:hint="eastAsia" w:ascii="宋体" w:hAnsi="宋体" w:cs="Arial"/>
          <w:color w:val="auto"/>
          <w:szCs w:val="21"/>
          <w:highlight w:val="none"/>
          <w:lang w:eastAsia="zh-CN"/>
        </w:rPr>
        <w:t>乙方</w:t>
      </w:r>
      <w:r>
        <w:rPr>
          <w:rFonts w:ascii="宋体" w:hAnsi="宋体" w:cs="Arial"/>
          <w:color w:val="auto"/>
          <w:szCs w:val="21"/>
          <w:highlight w:val="none"/>
        </w:rPr>
        <w:t>责任而造成，合同产品本身的拆除及更换费用及由此引起的其它拆除、搬位及修复的费用等均由</w:t>
      </w:r>
      <w:r>
        <w:rPr>
          <w:rFonts w:hint="eastAsia" w:ascii="宋体" w:hAnsi="宋体" w:cs="Arial"/>
          <w:color w:val="auto"/>
          <w:szCs w:val="21"/>
          <w:highlight w:val="none"/>
          <w:lang w:eastAsia="zh-CN"/>
        </w:rPr>
        <w:t>乙方</w:t>
      </w:r>
      <w:r>
        <w:rPr>
          <w:rFonts w:ascii="宋体" w:hAnsi="宋体" w:cs="Arial"/>
          <w:color w:val="auto"/>
          <w:szCs w:val="21"/>
          <w:highlight w:val="none"/>
        </w:rPr>
        <w:t>负担。</w:t>
      </w:r>
    </w:p>
    <w:p w14:paraId="730F3F50">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s="Arial"/>
          <w:color w:val="auto"/>
          <w:szCs w:val="21"/>
          <w:highlight w:val="none"/>
        </w:rPr>
        <w:t>若</w:t>
      </w: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满，</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未提出合同产品存有缺陷或</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已对相关缺陷予以修复并经</w:t>
      </w:r>
      <w:r>
        <w:rPr>
          <w:rFonts w:hint="eastAsia" w:ascii="宋体" w:hAnsi="宋体" w:cs="Arial"/>
          <w:color w:val="auto"/>
          <w:szCs w:val="21"/>
          <w:highlight w:val="none"/>
          <w:lang w:eastAsia="zh-CN"/>
        </w:rPr>
        <w:t>甲方</w:t>
      </w:r>
      <w:r>
        <w:rPr>
          <w:rFonts w:hint="eastAsia" w:ascii="宋体" w:hAnsi="宋体" w:cs="Arial"/>
          <w:color w:val="auto"/>
          <w:szCs w:val="21"/>
          <w:highlight w:val="none"/>
        </w:rPr>
        <w:t>确认的，</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相关质保责任已完成，但隐蔽性、合理的检查和试验都不能发觉的缺陷除外。</w:t>
      </w:r>
    </w:p>
    <w:p w14:paraId="675889C7">
      <w:pPr>
        <w:pStyle w:val="21"/>
        <w:numPr>
          <w:ilvl w:val="0"/>
          <w:numId w:val="10"/>
        </w:numPr>
        <w:spacing w:before="120" w:line="360" w:lineRule="exact"/>
        <w:ind w:hanging="578" w:firstLineChars="0"/>
        <w:rPr>
          <w:rFonts w:ascii="宋体" w:hAnsi="宋体" w:cs="Arial"/>
          <w:color w:val="auto"/>
          <w:szCs w:val="21"/>
          <w:highlight w:val="none"/>
        </w:rPr>
      </w:pPr>
      <w:r>
        <w:rPr>
          <w:rFonts w:hint="eastAsia" w:ascii="宋体" w:hAnsi="宋体"/>
          <w:color w:val="auto"/>
          <w:szCs w:val="21"/>
          <w:highlight w:val="none"/>
        </w:rPr>
        <w:t>质保</w:t>
      </w:r>
      <w:r>
        <w:rPr>
          <w:rFonts w:ascii="宋体" w:hAnsi="宋体"/>
          <w:color w:val="auto"/>
          <w:szCs w:val="21"/>
          <w:highlight w:val="none"/>
        </w:rPr>
        <w:t>/保修期</w:t>
      </w:r>
      <w:r>
        <w:rPr>
          <w:rFonts w:hint="eastAsia" w:ascii="宋体" w:hAnsi="宋体" w:cs="Arial"/>
          <w:color w:val="auto"/>
          <w:szCs w:val="21"/>
          <w:highlight w:val="none"/>
        </w:rPr>
        <w:t>仅就整体合同产品而言，若合同产品个别零部件规定有较长质保期的，则</w:t>
      </w:r>
      <w:r>
        <w:rPr>
          <w:rFonts w:hint="eastAsia" w:ascii="宋体" w:hAnsi="宋体" w:cs="Arial"/>
          <w:color w:val="auto"/>
          <w:szCs w:val="21"/>
          <w:highlight w:val="none"/>
          <w:lang w:eastAsia="zh-CN"/>
        </w:rPr>
        <w:t>乙方</w:t>
      </w:r>
      <w:r>
        <w:rPr>
          <w:rFonts w:hint="eastAsia" w:ascii="宋体" w:hAnsi="宋体" w:cs="Arial"/>
          <w:color w:val="auto"/>
          <w:szCs w:val="21"/>
          <w:highlight w:val="none"/>
        </w:rPr>
        <w:t>应按照相关规定提供质保服务。</w:t>
      </w:r>
    </w:p>
    <w:p w14:paraId="06A18586">
      <w:pPr>
        <w:pStyle w:val="21"/>
        <w:numPr>
          <w:ilvl w:val="0"/>
          <w:numId w:val="0"/>
        </w:numPr>
        <w:spacing w:before="120" w:line="360" w:lineRule="exact"/>
        <w:ind w:left="66" w:leftChars="0"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在质保</w:t>
      </w:r>
      <w:r>
        <w:rPr>
          <w:rFonts w:ascii="宋体" w:hAnsi="宋体"/>
          <w:color w:val="auto"/>
          <w:szCs w:val="21"/>
          <w:highlight w:val="none"/>
        </w:rPr>
        <w:t>/保修期内，如</w:t>
      </w:r>
      <w:r>
        <w:rPr>
          <w:rFonts w:hint="eastAsia" w:ascii="宋体" w:hAnsi="宋体"/>
          <w:color w:val="auto"/>
          <w:szCs w:val="21"/>
          <w:highlight w:val="none"/>
          <w:lang w:eastAsia="zh-CN"/>
        </w:rPr>
        <w:t>乙方</w:t>
      </w:r>
      <w:r>
        <w:rPr>
          <w:rFonts w:ascii="宋体" w:hAnsi="宋体"/>
          <w:color w:val="auto"/>
          <w:szCs w:val="21"/>
          <w:highlight w:val="none"/>
        </w:rPr>
        <w:t>对合同产品进行了技术改进，且</w:t>
      </w:r>
      <w:r>
        <w:rPr>
          <w:rFonts w:hint="eastAsia" w:ascii="宋体" w:hAnsi="宋体"/>
          <w:color w:val="auto"/>
          <w:szCs w:val="21"/>
          <w:highlight w:val="none"/>
          <w:lang w:eastAsia="zh-CN"/>
        </w:rPr>
        <w:t>甲方</w:t>
      </w:r>
      <w:r>
        <w:rPr>
          <w:rFonts w:ascii="宋体" w:hAnsi="宋体"/>
          <w:color w:val="auto"/>
          <w:szCs w:val="21"/>
          <w:highlight w:val="none"/>
        </w:rPr>
        <w:t>认为这项改进对</w:t>
      </w:r>
      <w:r>
        <w:rPr>
          <w:rFonts w:hint="eastAsia" w:ascii="宋体" w:hAnsi="宋体"/>
          <w:color w:val="auto"/>
          <w:szCs w:val="21"/>
          <w:highlight w:val="none"/>
          <w:lang w:eastAsia="zh-CN"/>
        </w:rPr>
        <w:t>甲方</w:t>
      </w:r>
      <w:r>
        <w:rPr>
          <w:rFonts w:ascii="宋体" w:hAnsi="宋体"/>
          <w:color w:val="auto"/>
          <w:szCs w:val="21"/>
          <w:highlight w:val="none"/>
        </w:rPr>
        <w:t>有重要意义并对产品运行维护具有实用价值，</w:t>
      </w:r>
      <w:r>
        <w:rPr>
          <w:rFonts w:hint="eastAsia" w:ascii="宋体" w:hAnsi="宋体"/>
          <w:color w:val="auto"/>
          <w:szCs w:val="21"/>
          <w:highlight w:val="none"/>
          <w:lang w:eastAsia="zh-CN"/>
        </w:rPr>
        <w:t>乙方</w:t>
      </w:r>
      <w:r>
        <w:rPr>
          <w:rFonts w:ascii="宋体" w:hAnsi="宋体"/>
          <w:color w:val="auto"/>
          <w:szCs w:val="21"/>
          <w:highlight w:val="none"/>
        </w:rPr>
        <w:t>应向</w:t>
      </w:r>
      <w:r>
        <w:rPr>
          <w:rFonts w:hint="eastAsia" w:ascii="宋体" w:hAnsi="宋体"/>
          <w:color w:val="auto"/>
          <w:szCs w:val="21"/>
          <w:highlight w:val="none"/>
          <w:lang w:eastAsia="zh-CN"/>
        </w:rPr>
        <w:t>甲方</w:t>
      </w:r>
      <w:r>
        <w:rPr>
          <w:rFonts w:ascii="宋体" w:hAnsi="宋体"/>
          <w:color w:val="auto"/>
          <w:szCs w:val="21"/>
          <w:highlight w:val="none"/>
        </w:rPr>
        <w:t>提供与这些技术改进有关的详细技术资料。对于增加硬件或合同产品功能所做的技术改进，具体费用由双方进一步协商确定。一旦达成协议，</w:t>
      </w:r>
      <w:r>
        <w:rPr>
          <w:rFonts w:hint="eastAsia" w:ascii="宋体" w:hAnsi="宋体"/>
          <w:color w:val="auto"/>
          <w:szCs w:val="21"/>
          <w:highlight w:val="none"/>
          <w:lang w:eastAsia="zh-CN"/>
        </w:rPr>
        <w:t>甲方</w:t>
      </w:r>
      <w:r>
        <w:rPr>
          <w:rFonts w:ascii="宋体" w:hAnsi="宋体"/>
          <w:color w:val="auto"/>
          <w:szCs w:val="21"/>
          <w:highlight w:val="none"/>
        </w:rPr>
        <w:t>将按照双方约定的交易条件与</w:t>
      </w:r>
      <w:r>
        <w:rPr>
          <w:rFonts w:hint="eastAsia" w:ascii="宋体" w:hAnsi="宋体"/>
          <w:color w:val="auto"/>
          <w:szCs w:val="21"/>
          <w:highlight w:val="none"/>
          <w:lang w:eastAsia="zh-CN"/>
        </w:rPr>
        <w:t>乙方</w:t>
      </w:r>
      <w:r>
        <w:rPr>
          <w:rFonts w:ascii="宋体" w:hAnsi="宋体"/>
          <w:color w:val="auto"/>
          <w:szCs w:val="21"/>
          <w:highlight w:val="none"/>
        </w:rPr>
        <w:t>签订补充协议。</w:t>
      </w:r>
    </w:p>
    <w:p w14:paraId="29058643">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乙方</w:t>
      </w:r>
      <w:r>
        <w:rPr>
          <w:rFonts w:hint="eastAsia" w:ascii="宋体" w:hAnsi="宋体"/>
          <w:color w:val="auto"/>
          <w:szCs w:val="21"/>
          <w:highlight w:val="none"/>
        </w:rPr>
        <w:t>应存有足够供给</w:t>
      </w:r>
      <w:r>
        <w:rPr>
          <w:rFonts w:hint="eastAsia" w:ascii="宋体" w:hAnsi="宋体"/>
          <w:color w:val="auto"/>
          <w:szCs w:val="21"/>
          <w:highlight w:val="none"/>
          <w:lang w:eastAsia="zh-CN"/>
        </w:rPr>
        <w:t>甲方</w:t>
      </w:r>
      <w:r>
        <w:rPr>
          <w:rFonts w:hint="eastAsia" w:ascii="宋体" w:hAnsi="宋体"/>
          <w:color w:val="auto"/>
          <w:szCs w:val="21"/>
          <w:highlight w:val="none"/>
        </w:rPr>
        <w:t>替换或紧急所需之零部件、备品备件及易损件存货以满</w:t>
      </w:r>
      <w:r>
        <w:rPr>
          <w:rFonts w:ascii="宋体" w:hAnsi="宋体"/>
          <w:color w:val="auto"/>
          <w:szCs w:val="21"/>
          <w:highlight w:val="none"/>
        </w:rPr>
        <w:t>足保修期内</w:t>
      </w:r>
      <w:r>
        <w:rPr>
          <w:rFonts w:hint="eastAsia" w:ascii="宋体" w:hAnsi="宋体"/>
          <w:color w:val="auto"/>
          <w:szCs w:val="21"/>
          <w:highlight w:val="none"/>
        </w:rPr>
        <w:t>合</w:t>
      </w:r>
      <w:r>
        <w:rPr>
          <w:rFonts w:ascii="宋体" w:hAnsi="宋体"/>
          <w:color w:val="auto"/>
          <w:szCs w:val="21"/>
          <w:highlight w:val="none"/>
        </w:rPr>
        <w:t>同产品</w:t>
      </w:r>
      <w:r>
        <w:rPr>
          <w:rFonts w:hint="eastAsia" w:ascii="宋体" w:hAnsi="宋体"/>
          <w:color w:val="auto"/>
          <w:szCs w:val="21"/>
          <w:highlight w:val="none"/>
        </w:rPr>
        <w:t>维修</w:t>
      </w:r>
      <w:r>
        <w:rPr>
          <w:rFonts w:ascii="宋体" w:hAnsi="宋体"/>
          <w:color w:val="auto"/>
          <w:szCs w:val="21"/>
          <w:highlight w:val="none"/>
        </w:rPr>
        <w:t>的需求</w:t>
      </w:r>
      <w:r>
        <w:rPr>
          <w:rFonts w:hint="eastAsia" w:ascii="宋体" w:hAnsi="宋体"/>
          <w:color w:val="auto"/>
          <w:szCs w:val="21"/>
          <w:highlight w:val="none"/>
        </w:rPr>
        <w:t>。</w:t>
      </w:r>
    </w:p>
    <w:p w14:paraId="3BEB7AE1">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六</w:t>
      </w:r>
      <w:r>
        <w:rPr>
          <w:rFonts w:hint="eastAsia" w:ascii="宋体" w:hAnsi="宋体" w:cs="Times New Roman"/>
          <w:b/>
          <w:color w:val="auto"/>
          <w:kern w:val="2"/>
          <w:sz w:val="21"/>
          <w:szCs w:val="21"/>
          <w:highlight w:val="none"/>
          <w:u w:val="none"/>
          <w:lang w:eastAsia="zh-CN"/>
        </w:rPr>
        <w:t>、不可抗力与情势变更</w:t>
      </w:r>
    </w:p>
    <w:p w14:paraId="5CC8F5C1">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本合同存续期间，如发生火灾、台风、洪水、地震、塌方、海啸、瘟疫、海险、战争（不论是否宣战）、内乱、封锁、军事征用、怠工、罢工、停工、工业设施的事故或瘫痪，以及其他双方共同认为属于不可抗力的原因而被迫停止或推迟合同的执行，则合同执行相应顺延，顺延时间等于不可抗力持续的时间。</w:t>
      </w:r>
    </w:p>
    <w:p w14:paraId="0E7617D4">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在不可抗力出现之七天内，受影响的一方应尽快通过电传或传真通知另一方，并提供一份有关权威机构出具的证明以便另一方核实和确认。</w:t>
      </w:r>
    </w:p>
    <w:p w14:paraId="4CDD3C7B">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受影响的一方在不可抗力终止或被排除后应尽快通过电传或传真通知另一方不可抗力已终止或排除，同时尽全力弥补因遭受不可抗力给另一方造成的延误。</w:t>
      </w:r>
    </w:p>
    <w:p w14:paraId="7271D3C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如不可抗力持续作用超过三</w:t>
      </w:r>
      <w:r>
        <w:rPr>
          <w:rFonts w:ascii="宋体" w:hAnsi="宋体"/>
          <w:color w:val="auto"/>
          <w:szCs w:val="21"/>
          <w:highlight w:val="none"/>
        </w:rPr>
        <w:t>十（30</w:t>
      </w:r>
      <w:r>
        <w:rPr>
          <w:rFonts w:hint="eastAsia" w:ascii="宋体" w:hAnsi="宋体"/>
          <w:color w:val="auto"/>
          <w:szCs w:val="21"/>
          <w:highlight w:val="none"/>
        </w:rPr>
        <w:t>）天，双方将通过友好协商解决合同执行问题。</w:t>
      </w:r>
    </w:p>
    <w:p w14:paraId="648315FC">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本合同存续期间，如发生政治、经济、金融、法律或其他方面的重大变故，继续履行本合同已无实质意义，双方可协商暂缓或终止本合同，任何一方均不承担责任。</w:t>
      </w:r>
    </w:p>
    <w:p w14:paraId="6278441A">
      <w:pPr>
        <w:pStyle w:val="21"/>
        <w:numPr>
          <w:ilvl w:val="0"/>
          <w:numId w:val="0"/>
        </w:numPr>
        <w:spacing w:before="120" w:line="36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双方签订本合</w:t>
      </w:r>
      <w:r>
        <w:rPr>
          <w:rFonts w:ascii="宋体" w:hAnsi="宋体"/>
          <w:color w:val="auto"/>
          <w:szCs w:val="21"/>
          <w:highlight w:val="none"/>
        </w:rPr>
        <w:t>同</w:t>
      </w:r>
      <w:r>
        <w:rPr>
          <w:rFonts w:hint="eastAsia" w:ascii="宋体" w:hAnsi="宋体"/>
          <w:color w:val="auto"/>
          <w:szCs w:val="21"/>
          <w:highlight w:val="none"/>
        </w:rPr>
        <w:t>是依照协议签订时的国家现行政策、法律法规制定的。如果本合同履行过程中遇法律、法规、政策等的变化致使任何一方无法履行本合同的，双方不负任何法律责任。</w:t>
      </w:r>
    </w:p>
    <w:p w14:paraId="7B88C90C">
      <w:pPr>
        <w:spacing w:before="120" w:after="0" w:line="360" w:lineRule="exact"/>
        <w:jc w:val="both"/>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七</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保密条款</w:t>
      </w:r>
    </w:p>
    <w:p w14:paraId="272C00DE">
      <w:pPr>
        <w:pStyle w:val="21"/>
        <w:spacing w:before="120" w:line="360" w:lineRule="exact"/>
        <w:rPr>
          <w:rFonts w:ascii="宋体" w:hAnsi="宋体"/>
          <w:color w:val="auto"/>
          <w:szCs w:val="21"/>
          <w:highlight w:val="none"/>
        </w:rPr>
      </w:pPr>
      <w:r>
        <w:rPr>
          <w:rFonts w:hint="eastAsia" w:ascii="宋体" w:hAnsi="宋体"/>
          <w:color w:val="auto"/>
          <w:szCs w:val="21"/>
          <w:highlight w:val="none"/>
        </w:rPr>
        <w:t>双方同意，在签署及实施本合同过程中所知悉的对方所有文件、资料、信息、数据、档案、技术文件、设计方案、市场经营信息等，无论该等信息表现形式为书面的、口头的、电子数据或以其他载体记载的文字、图案和数据等均被视为保密信息，双方承诺并保证其委托参与事务相关人员不将上述保密信息用于本合同之外的任何目的，遵守本条款之约定。</w:t>
      </w:r>
    </w:p>
    <w:p w14:paraId="5BDE91CA">
      <w:pPr>
        <w:spacing w:before="120" w:after="0" w:line="360" w:lineRule="exact"/>
        <w:jc w:val="both"/>
        <w:outlineLvl w:val="0"/>
        <w:rPr>
          <w:rFonts w:ascii="宋体" w:hAnsi="宋体" w:cs="Times New Roman"/>
          <w:b/>
          <w:color w:val="auto"/>
          <w:kern w:val="2"/>
          <w:sz w:val="21"/>
          <w:szCs w:val="21"/>
          <w:highlight w:val="none"/>
          <w:u w:val="single"/>
          <w:lang w:eastAsia="zh-CN"/>
        </w:rPr>
      </w:pPr>
      <w:r>
        <w:rPr>
          <w:rFonts w:hint="eastAsia" w:ascii="宋体" w:hAnsi="宋体" w:cs="Times New Roman"/>
          <w:b/>
          <w:color w:val="auto"/>
          <w:kern w:val="2"/>
          <w:sz w:val="21"/>
          <w:szCs w:val="21"/>
          <w:highlight w:val="none"/>
          <w:lang w:val="en-US" w:eastAsia="zh-CN"/>
        </w:rPr>
        <w:t>八</w:t>
      </w:r>
      <w:r>
        <w:rPr>
          <w:rFonts w:hint="eastAsia" w:ascii="宋体" w:hAnsi="宋体" w:cs="Times New Roman"/>
          <w:b/>
          <w:color w:val="auto"/>
          <w:kern w:val="2"/>
          <w:sz w:val="21"/>
          <w:szCs w:val="21"/>
          <w:highlight w:val="none"/>
          <w:lang w:eastAsia="zh-CN"/>
        </w:rPr>
        <w:t>、</w:t>
      </w:r>
      <w:r>
        <w:rPr>
          <w:rFonts w:hint="eastAsia" w:ascii="宋体" w:hAnsi="宋体" w:cs="Times New Roman"/>
          <w:b/>
          <w:color w:val="auto"/>
          <w:kern w:val="2"/>
          <w:sz w:val="21"/>
          <w:szCs w:val="21"/>
          <w:highlight w:val="none"/>
          <w:u w:val="none"/>
          <w:lang w:eastAsia="zh-CN"/>
        </w:rPr>
        <w:t>抗辩</w:t>
      </w:r>
    </w:p>
    <w:p w14:paraId="48F7D5C8">
      <w:pPr>
        <w:spacing w:before="120" w:after="0" w:line="360" w:lineRule="exact"/>
        <w:ind w:firstLine="420" w:firstLineChars="200"/>
        <w:jc w:val="both"/>
        <w:rPr>
          <w:rFonts w:ascii="宋体" w:hAnsi="宋体" w:cs="Times New Roman"/>
          <w:color w:val="auto"/>
          <w:kern w:val="2"/>
          <w:sz w:val="21"/>
          <w:szCs w:val="21"/>
          <w:highlight w:val="none"/>
          <w:lang w:eastAsia="zh-CN"/>
        </w:rPr>
      </w:pPr>
      <w:r>
        <w:rPr>
          <w:rFonts w:hint="eastAsia" w:ascii="宋体" w:hAnsi="宋体" w:cs="Times New Roman"/>
          <w:color w:val="auto"/>
          <w:kern w:val="2"/>
          <w:sz w:val="21"/>
          <w:szCs w:val="21"/>
          <w:highlight w:val="none"/>
          <w:lang w:eastAsia="zh-CN"/>
        </w:rPr>
        <w:t>因乙方及其相关人员违反本合同条款而引起的第三方对乙方</w:t>
      </w:r>
      <w:r>
        <w:rPr>
          <w:rFonts w:ascii="宋体" w:hAnsi="宋体" w:cs="Times New Roman"/>
          <w:color w:val="auto"/>
          <w:kern w:val="2"/>
          <w:sz w:val="21"/>
          <w:szCs w:val="21"/>
          <w:highlight w:val="none"/>
          <w:lang w:eastAsia="zh-CN"/>
        </w:rPr>
        <w:t>的任何交涉、要求、诉讼、索赔或禁止，</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应为</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抗辩，或在</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的要求下合作抗辩，保护</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的利益不受损害，</w:t>
      </w:r>
      <w:r>
        <w:rPr>
          <w:rFonts w:hint="eastAsia" w:ascii="宋体" w:hAnsi="宋体" w:cs="Times New Roman"/>
          <w:color w:val="auto"/>
          <w:kern w:val="2"/>
          <w:sz w:val="21"/>
          <w:szCs w:val="21"/>
          <w:highlight w:val="none"/>
          <w:lang w:eastAsia="zh-CN"/>
        </w:rPr>
        <w:t>乙方</w:t>
      </w:r>
      <w:r>
        <w:rPr>
          <w:rFonts w:ascii="宋体" w:hAnsi="宋体" w:cs="Times New Roman"/>
          <w:color w:val="auto"/>
          <w:kern w:val="2"/>
          <w:sz w:val="21"/>
          <w:szCs w:val="21"/>
          <w:highlight w:val="none"/>
          <w:lang w:eastAsia="zh-CN"/>
        </w:rPr>
        <w:t>应承担因此给</w:t>
      </w:r>
      <w:r>
        <w:rPr>
          <w:rFonts w:hint="eastAsia" w:ascii="宋体" w:hAnsi="宋体" w:cs="Times New Roman"/>
          <w:color w:val="auto"/>
          <w:kern w:val="2"/>
          <w:sz w:val="21"/>
          <w:szCs w:val="21"/>
          <w:highlight w:val="none"/>
          <w:lang w:eastAsia="zh-CN"/>
        </w:rPr>
        <w:t>甲方</w:t>
      </w:r>
      <w:r>
        <w:rPr>
          <w:rFonts w:ascii="宋体" w:hAnsi="宋体" w:cs="Times New Roman"/>
          <w:color w:val="auto"/>
          <w:kern w:val="2"/>
          <w:sz w:val="21"/>
          <w:szCs w:val="21"/>
          <w:highlight w:val="none"/>
          <w:lang w:eastAsia="zh-CN"/>
        </w:rPr>
        <w:t>带来的所有费用、罚款、律师费及损害赔偿等。</w:t>
      </w:r>
    </w:p>
    <w:p w14:paraId="05F1C04C">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olor w:val="auto"/>
          <w:szCs w:val="21"/>
          <w:highlight w:val="none"/>
          <w:lang w:val="en-US" w:eastAsia="zh-CN"/>
        </w:rPr>
      </w:pPr>
    </w:p>
    <w:p w14:paraId="3CB512CE">
      <w:pPr>
        <w:pStyle w:val="2"/>
        <w:rPr>
          <w:rFonts w:hint="eastAsia" w:ascii="宋体" w:hAnsi="宋体"/>
          <w:color w:val="auto"/>
          <w:szCs w:val="21"/>
          <w:highlight w:val="none"/>
          <w:lang w:val="en-US" w:eastAsia="zh-CN"/>
        </w:rPr>
      </w:pPr>
    </w:p>
    <w:p w14:paraId="7B3DF540">
      <w:pPr>
        <w:pStyle w:val="2"/>
        <w:rPr>
          <w:rFonts w:hint="eastAsia" w:ascii="宋体" w:hAnsi="宋体"/>
          <w:color w:val="auto"/>
          <w:szCs w:val="21"/>
          <w:highlight w:val="none"/>
          <w:lang w:val="en-US" w:eastAsia="zh-CN"/>
        </w:rPr>
      </w:pPr>
    </w:p>
    <w:p w14:paraId="3158F45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（以下无正文）</w:t>
      </w:r>
    </w:p>
    <w:p w14:paraId="74539F1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甲方名称：                   甲方</w:t>
      </w:r>
      <w:r>
        <w:rPr>
          <w:rFonts w:hint="eastAsia" w:ascii="宋体" w:hAnsi="宋体" w:cs="宋体"/>
          <w:b/>
          <w:bCs/>
          <w:color w:val="auto"/>
          <w:sz w:val="21"/>
          <w:szCs w:val="21"/>
          <w:highlight w:val="none"/>
          <w:lang w:val="en-US" w:eastAsia="zh-CN"/>
        </w:rPr>
        <w:t>盖章：</w:t>
      </w:r>
    </w:p>
    <w:p w14:paraId="1EF4D79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0EFFD59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507CC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6748B50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7316A7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 xml:space="preserve">开户行：                      账号： </w:t>
      </w:r>
    </w:p>
    <w:p w14:paraId="55AE07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4D2D1D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color w:val="auto"/>
          <w:sz w:val="21"/>
          <w:szCs w:val="21"/>
          <w:highlight w:val="none"/>
          <w:vertAlign w:val="baseline"/>
          <w:lang w:val="en-US" w:eastAsia="zh-CN"/>
        </w:rPr>
      </w:pPr>
    </w:p>
    <w:p w14:paraId="69C392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乙方名称：                    乙方</w:t>
      </w:r>
      <w:r>
        <w:rPr>
          <w:rFonts w:hint="eastAsia" w:ascii="宋体" w:hAnsi="宋体" w:cs="宋体"/>
          <w:b/>
          <w:bCs/>
          <w:color w:val="auto"/>
          <w:sz w:val="21"/>
          <w:szCs w:val="21"/>
          <w:highlight w:val="none"/>
          <w:lang w:val="en-US" w:eastAsia="zh-CN"/>
        </w:rPr>
        <w:t xml:space="preserve">盖章： </w:t>
      </w:r>
    </w:p>
    <w:p w14:paraId="132B755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法人代表：                     代理人：</w:t>
      </w:r>
    </w:p>
    <w:p w14:paraId="64300C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地址：</w:t>
      </w:r>
    </w:p>
    <w:p w14:paraId="2D3E8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税号：</w:t>
      </w:r>
    </w:p>
    <w:p w14:paraId="14876D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电话：</w:t>
      </w:r>
    </w:p>
    <w:p w14:paraId="1495C14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color w:val="auto"/>
          <w:sz w:val="21"/>
          <w:szCs w:val="21"/>
          <w:highlight w:val="none"/>
          <w:vertAlign w:val="baseline"/>
          <w:lang w:val="en-US" w:eastAsia="zh-CN"/>
        </w:rPr>
      </w:pPr>
      <w:r>
        <w:rPr>
          <w:rFonts w:hint="eastAsia"/>
          <w:b/>
          <w:bCs/>
          <w:color w:val="auto"/>
          <w:sz w:val="21"/>
          <w:szCs w:val="21"/>
          <w:highlight w:val="none"/>
          <w:vertAlign w:val="baseline"/>
          <w:lang w:val="en-US" w:eastAsia="zh-CN"/>
        </w:rPr>
        <w:t>开户行：                       账号：</w:t>
      </w:r>
    </w:p>
    <w:p w14:paraId="42AD97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2C8957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75FB27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sz w:val="21"/>
          <w:szCs w:val="21"/>
          <w:highlight w:val="none"/>
          <w:vertAlign w:val="baseline"/>
          <w:lang w:val="en-US" w:eastAsia="zh-CN"/>
        </w:rPr>
      </w:pPr>
    </w:p>
    <w:p w14:paraId="395EC49D">
      <w:pPr>
        <w:pStyle w:val="2"/>
        <w:rPr>
          <w:rFonts w:hint="eastAsia"/>
          <w:color w:val="auto"/>
          <w:sz w:val="21"/>
          <w:szCs w:val="21"/>
          <w:highlight w:val="none"/>
          <w:vertAlign w:val="baseline"/>
          <w:lang w:val="en-US" w:eastAsia="zh-CN"/>
        </w:rPr>
      </w:pPr>
    </w:p>
    <w:p w14:paraId="704290FC">
      <w:pPr>
        <w:pStyle w:val="2"/>
        <w:rPr>
          <w:rFonts w:hint="eastAsia"/>
          <w:color w:val="auto"/>
          <w:sz w:val="21"/>
          <w:szCs w:val="21"/>
          <w:highlight w:val="none"/>
          <w:vertAlign w:val="baseline"/>
          <w:lang w:val="en-US" w:eastAsia="zh-CN"/>
        </w:rPr>
      </w:pPr>
    </w:p>
    <w:p w14:paraId="67735761">
      <w:pPr>
        <w:pStyle w:val="2"/>
        <w:rPr>
          <w:rFonts w:hint="eastAsia"/>
          <w:color w:val="auto"/>
          <w:sz w:val="21"/>
          <w:szCs w:val="21"/>
          <w:highlight w:val="none"/>
          <w:vertAlign w:val="baseline"/>
          <w:lang w:val="en-US" w:eastAsia="zh-CN"/>
        </w:rPr>
      </w:pPr>
    </w:p>
    <w:p w14:paraId="3507D127">
      <w:pPr>
        <w:pStyle w:val="2"/>
        <w:rPr>
          <w:rFonts w:hint="eastAsia"/>
          <w:color w:val="auto"/>
          <w:sz w:val="21"/>
          <w:szCs w:val="21"/>
          <w:highlight w:val="none"/>
          <w:vertAlign w:val="baseline"/>
          <w:lang w:val="en-US" w:eastAsia="zh-CN"/>
        </w:rPr>
      </w:pPr>
    </w:p>
    <w:p w14:paraId="69ACA035">
      <w:pPr>
        <w:pStyle w:val="2"/>
        <w:rPr>
          <w:rFonts w:hint="eastAsia"/>
          <w:color w:val="auto"/>
          <w:sz w:val="21"/>
          <w:szCs w:val="21"/>
          <w:highlight w:val="none"/>
          <w:vertAlign w:val="baseline"/>
          <w:lang w:val="en-US" w:eastAsia="zh-CN"/>
        </w:rPr>
      </w:pPr>
    </w:p>
    <w:p w14:paraId="767CE522">
      <w:pPr>
        <w:pStyle w:val="2"/>
        <w:rPr>
          <w:rFonts w:hint="eastAsia"/>
          <w:color w:val="auto"/>
          <w:sz w:val="21"/>
          <w:szCs w:val="21"/>
          <w:highlight w:val="none"/>
          <w:vertAlign w:val="baseline"/>
          <w:lang w:val="en-US" w:eastAsia="zh-CN"/>
        </w:rPr>
      </w:pPr>
    </w:p>
    <w:p w14:paraId="5381B045">
      <w:pPr>
        <w:pStyle w:val="2"/>
        <w:rPr>
          <w:rFonts w:hint="eastAsia"/>
          <w:color w:val="auto"/>
          <w:sz w:val="21"/>
          <w:szCs w:val="21"/>
          <w:highlight w:val="none"/>
          <w:vertAlign w:val="baseline"/>
          <w:lang w:val="en-US" w:eastAsia="zh-CN"/>
        </w:rPr>
      </w:pPr>
    </w:p>
    <w:p w14:paraId="372D9DB7">
      <w:pPr>
        <w:pStyle w:val="2"/>
        <w:rPr>
          <w:rFonts w:hint="eastAsia"/>
          <w:color w:val="auto"/>
          <w:sz w:val="21"/>
          <w:szCs w:val="21"/>
          <w:highlight w:val="none"/>
          <w:vertAlign w:val="baseline"/>
          <w:lang w:val="en-US" w:eastAsia="zh-CN"/>
        </w:rPr>
      </w:pPr>
    </w:p>
    <w:p w14:paraId="0FA6E77F">
      <w:pPr>
        <w:pStyle w:val="2"/>
        <w:rPr>
          <w:rFonts w:hint="eastAsia"/>
          <w:color w:val="auto"/>
          <w:sz w:val="21"/>
          <w:szCs w:val="21"/>
          <w:highlight w:val="none"/>
          <w:vertAlign w:val="baseline"/>
          <w:lang w:val="en-US" w:eastAsia="zh-CN"/>
        </w:rPr>
      </w:pPr>
    </w:p>
    <w:p w14:paraId="4BBDF594">
      <w:pPr>
        <w:pStyle w:val="2"/>
        <w:rPr>
          <w:rFonts w:hint="eastAsia"/>
          <w:color w:val="auto"/>
          <w:sz w:val="21"/>
          <w:szCs w:val="21"/>
          <w:highlight w:val="none"/>
          <w:vertAlign w:val="baseline"/>
          <w:lang w:val="en-US" w:eastAsia="zh-CN"/>
        </w:rPr>
      </w:pPr>
    </w:p>
    <w:p w14:paraId="371B993A">
      <w:pPr>
        <w:pStyle w:val="2"/>
        <w:rPr>
          <w:rFonts w:hint="eastAsia"/>
          <w:color w:val="auto"/>
          <w:sz w:val="21"/>
          <w:szCs w:val="21"/>
          <w:highlight w:val="none"/>
          <w:vertAlign w:val="baseline"/>
          <w:lang w:val="en-US" w:eastAsia="zh-CN"/>
        </w:rPr>
      </w:pPr>
    </w:p>
    <w:p w14:paraId="2FDA349E">
      <w:pPr>
        <w:pStyle w:val="2"/>
        <w:rPr>
          <w:rFonts w:hint="eastAsia"/>
          <w:color w:val="auto"/>
          <w:sz w:val="21"/>
          <w:szCs w:val="21"/>
          <w:highlight w:val="none"/>
          <w:vertAlign w:val="baseline"/>
          <w:lang w:val="en-US" w:eastAsia="zh-CN"/>
        </w:rPr>
      </w:pPr>
    </w:p>
    <w:p w14:paraId="190C40C2">
      <w:pPr>
        <w:pStyle w:val="2"/>
        <w:rPr>
          <w:rFonts w:hint="eastAsia"/>
          <w:color w:val="auto"/>
          <w:sz w:val="21"/>
          <w:szCs w:val="21"/>
          <w:highlight w:val="none"/>
          <w:vertAlign w:val="baseline"/>
          <w:lang w:val="en-US" w:eastAsia="zh-CN"/>
        </w:rPr>
      </w:pPr>
    </w:p>
    <w:p w14:paraId="3BC5B21E">
      <w:pPr>
        <w:pStyle w:val="2"/>
        <w:rPr>
          <w:rFonts w:hint="eastAsia"/>
          <w:color w:val="auto"/>
          <w:sz w:val="21"/>
          <w:szCs w:val="21"/>
          <w:highlight w:val="none"/>
          <w:vertAlign w:val="baseline"/>
          <w:lang w:val="en-US" w:eastAsia="zh-CN"/>
        </w:rPr>
      </w:pPr>
    </w:p>
    <w:p w14:paraId="192B285D">
      <w:pPr>
        <w:pStyle w:val="2"/>
        <w:rPr>
          <w:rFonts w:hint="eastAsia"/>
          <w:color w:val="auto"/>
          <w:sz w:val="21"/>
          <w:szCs w:val="21"/>
          <w:highlight w:val="none"/>
          <w:vertAlign w:val="baseline"/>
          <w:lang w:val="en-US" w:eastAsia="zh-CN"/>
        </w:rPr>
      </w:pPr>
    </w:p>
    <w:p w14:paraId="5F08AF23">
      <w:pPr>
        <w:pStyle w:val="2"/>
        <w:rPr>
          <w:rFonts w:hint="eastAsia"/>
          <w:color w:val="auto"/>
          <w:sz w:val="21"/>
          <w:szCs w:val="21"/>
          <w:highlight w:val="none"/>
          <w:vertAlign w:val="baseline"/>
          <w:lang w:val="en-US" w:eastAsia="zh-CN"/>
        </w:rPr>
      </w:pPr>
    </w:p>
    <w:p w14:paraId="69F82A10">
      <w:pPr>
        <w:pStyle w:val="2"/>
        <w:rPr>
          <w:rFonts w:hint="eastAsia"/>
          <w:color w:val="auto"/>
          <w:sz w:val="21"/>
          <w:szCs w:val="21"/>
          <w:highlight w:val="none"/>
          <w:vertAlign w:val="baseline"/>
          <w:lang w:val="en-US" w:eastAsia="zh-CN"/>
        </w:rPr>
      </w:pPr>
    </w:p>
    <w:p w14:paraId="1DE8566E">
      <w:pPr>
        <w:pStyle w:val="2"/>
        <w:rPr>
          <w:rFonts w:hint="eastAsia"/>
          <w:color w:val="auto"/>
          <w:sz w:val="21"/>
          <w:szCs w:val="21"/>
          <w:highlight w:val="none"/>
          <w:vertAlign w:val="baseline"/>
          <w:lang w:val="en-US" w:eastAsia="zh-CN"/>
        </w:rPr>
      </w:pPr>
    </w:p>
    <w:p w14:paraId="17979728">
      <w:pPr>
        <w:pStyle w:val="2"/>
        <w:rPr>
          <w:rFonts w:hint="eastAsia"/>
          <w:color w:val="auto"/>
          <w:sz w:val="21"/>
          <w:szCs w:val="21"/>
          <w:highlight w:val="none"/>
          <w:vertAlign w:val="baseline"/>
          <w:lang w:val="en-US" w:eastAsia="zh-CN"/>
        </w:rPr>
      </w:pPr>
    </w:p>
    <w:p w14:paraId="37956791">
      <w:pPr>
        <w:pStyle w:val="2"/>
        <w:rPr>
          <w:rFonts w:hint="eastAsia"/>
          <w:color w:val="auto"/>
          <w:sz w:val="21"/>
          <w:szCs w:val="21"/>
          <w:highlight w:val="none"/>
          <w:vertAlign w:val="baseline"/>
          <w:lang w:val="en-US" w:eastAsia="zh-CN"/>
        </w:rPr>
      </w:pPr>
    </w:p>
    <w:p w14:paraId="42A5623A">
      <w:pPr>
        <w:rPr>
          <w:rFonts w:hint="eastAsia" w:ascii="黑体"/>
          <w:b/>
          <w:color w:val="auto"/>
          <w:sz w:val="21"/>
          <w:szCs w:val="28"/>
          <w:highlight w:val="none"/>
          <w:lang w:eastAsia="zh-CN"/>
        </w:rPr>
      </w:pPr>
    </w:p>
    <w:p w14:paraId="599E0747">
      <w:pPr>
        <w:snapToGrid w:val="0"/>
        <w:spacing w:before="156" w:beforeLines="50" w:line="480" w:lineRule="exact"/>
        <w:rPr>
          <w:rFonts w:ascii="黑体"/>
          <w:b/>
          <w:color w:val="auto"/>
          <w:sz w:val="21"/>
          <w:szCs w:val="28"/>
          <w:highlight w:val="none"/>
          <w:lang w:eastAsia="zh-CN"/>
        </w:rPr>
      </w:pPr>
      <w:r>
        <w:rPr>
          <w:rFonts w:hint="eastAsia" w:ascii="黑体"/>
          <w:b/>
          <w:color w:val="auto"/>
          <w:sz w:val="21"/>
          <w:szCs w:val="28"/>
          <w:highlight w:val="none"/>
          <w:lang w:eastAsia="zh-CN"/>
        </w:rPr>
        <w:t>附件：《廉洁协议》</w:t>
      </w:r>
    </w:p>
    <w:p w14:paraId="5FBE087D">
      <w:pPr>
        <w:snapToGrid w:val="0"/>
        <w:spacing w:before="156" w:beforeLines="50" w:line="480" w:lineRule="exact"/>
        <w:jc w:val="center"/>
        <w:rPr>
          <w:rFonts w:ascii="黑体"/>
          <w:b/>
          <w:color w:val="auto"/>
          <w:sz w:val="28"/>
          <w:szCs w:val="28"/>
          <w:highlight w:val="none"/>
          <w:lang w:eastAsia="zh-CN"/>
        </w:rPr>
      </w:pPr>
      <w:r>
        <w:rPr>
          <w:rFonts w:hint="eastAsia" w:ascii="黑体"/>
          <w:b/>
          <w:color w:val="auto"/>
          <w:sz w:val="28"/>
          <w:szCs w:val="28"/>
          <w:highlight w:val="none"/>
          <w:lang w:eastAsia="zh-CN"/>
        </w:rPr>
        <w:t>廉  洁  协  议</w:t>
      </w:r>
    </w:p>
    <w:p w14:paraId="1390E2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color w:val="auto"/>
          <w:sz w:val="21"/>
          <w:szCs w:val="21"/>
          <w:highlight w:val="none"/>
          <w:vertAlign w:val="baseline"/>
          <w:lang w:val="en-US" w:eastAsia="zh-CN"/>
        </w:rPr>
      </w:pPr>
      <w:r>
        <w:rPr>
          <w:rFonts w:hint="eastAsia"/>
          <w:color w:val="auto"/>
          <w:szCs w:val="21"/>
          <w:highlight w:val="none"/>
          <w:lang w:eastAsia="zh-CN"/>
        </w:rPr>
        <w:t>甲方（采购方）</w:t>
      </w:r>
      <w:r>
        <w:rPr>
          <w:color w:val="auto"/>
          <w:szCs w:val="21"/>
          <w:highlight w:val="none"/>
          <w:lang w:eastAsia="zh-CN"/>
        </w:rPr>
        <w:t>：</w:t>
      </w:r>
      <w:r>
        <w:rPr>
          <w:rFonts w:hint="eastAsia"/>
          <w:color w:val="auto"/>
          <w:szCs w:val="21"/>
          <w:highlight w:val="none"/>
          <w:lang w:val="en-US" w:eastAsia="zh-CN"/>
        </w:rPr>
        <w:t>中国机械总院集团海西（福建）分院有限公司</w:t>
      </w:r>
    </w:p>
    <w:p w14:paraId="3AAA71BF">
      <w:pPr>
        <w:keepNext w:val="0"/>
        <w:keepLines w:val="0"/>
        <w:pageBreakBefore w:val="0"/>
        <w:widowControl w:val="0"/>
        <w:kinsoku/>
        <w:wordWrap/>
        <w:overflowPunct/>
        <w:topLinePunct w:val="0"/>
        <w:autoSpaceDE/>
        <w:autoSpaceDN/>
        <w:bidi w:val="0"/>
        <w:adjustRightInd/>
        <w:snapToGrid/>
        <w:spacing w:line="360" w:lineRule="auto"/>
        <w:jc w:val="left"/>
        <w:textAlignment w:val="auto"/>
        <w:rPr>
          <w:color w:val="auto"/>
          <w:szCs w:val="21"/>
          <w:highlight w:val="none"/>
          <w:lang w:eastAsia="zh-CN"/>
        </w:rPr>
      </w:pPr>
      <w:r>
        <w:rPr>
          <w:rFonts w:hint="eastAsia"/>
          <w:color w:val="auto"/>
          <w:szCs w:val="21"/>
          <w:highlight w:val="none"/>
          <w:lang w:eastAsia="zh-CN"/>
        </w:rPr>
        <w:t>乙方（供应商）</w:t>
      </w:r>
      <w:r>
        <w:rPr>
          <w:color w:val="auto"/>
          <w:szCs w:val="21"/>
          <w:highlight w:val="none"/>
          <w:lang w:eastAsia="zh-CN"/>
        </w:rPr>
        <w:t>：</w:t>
      </w:r>
    </w:p>
    <w:p w14:paraId="3A742BD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为促进甲乙双方廉洁高效合作，防止各种不正当行为的发生，促使双方工作人员廉洁从业，按照《中华人民共和国民法典》、《中华人民共和国反不正当竞争法》、《关于禁止商业贿赂行为的暂行规定》和国家其他相关法律法规关于廉政建设的相关规定，经甲乙双方协商一致，自愿签订如下廉洁协议：</w:t>
      </w:r>
    </w:p>
    <w:p w14:paraId="266050DA">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一、双方应当自觉遵守国家和地方关于公平交易、廉洁自律、反腐败的各项规定。</w:t>
      </w:r>
    </w:p>
    <w:p w14:paraId="0813ECF8">
      <w:pPr>
        <w:tabs>
          <w:tab w:val="left" w:pos="0"/>
          <w:tab w:val="left" w:pos="142"/>
        </w:tabs>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二、甲方及其工作人员不得以任何形式向乙方索要和收受回扣等好处。</w:t>
      </w:r>
    </w:p>
    <w:p w14:paraId="4268E072">
      <w:pPr>
        <w:tabs>
          <w:tab w:val="left" w:pos="0"/>
          <w:tab w:val="left" w:pos="142"/>
        </w:tabs>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三、甲方工作人员应当保持与乙方的正常业务交往，不得接受乙方的礼金、有价证券和贵重物品，不得在乙方处报销任何应由个人支付的费用。</w:t>
      </w:r>
    </w:p>
    <w:p w14:paraId="06367CF3">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四、甲方工作人员不得参加可能对公正执行职务有影响的宴请和娱乐活动。</w:t>
      </w:r>
    </w:p>
    <w:p w14:paraId="386C6CAD">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五、甲方工作人员不得要求或者接受乙方为其住房装修、婚丧嫁娶、家属和子女的工作安排以及出国等提乙方便。</w:t>
      </w:r>
    </w:p>
    <w:p w14:paraId="7F89E1F4">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六、甲方工作人员不得向乙方介绍家属或者亲友从事与甲方采购有关的材料、设备供应、提供相关服务等经济活动。</w:t>
      </w:r>
    </w:p>
    <w:p w14:paraId="61A48FF2">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七、乙方应当通过正常途径开展相对业务工作，不得为获取某些不正当利益而向甲方工作人员赠送礼金、有价证券和贵重物品等。</w:t>
      </w:r>
    </w:p>
    <w:p w14:paraId="0A43E82A">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八、乙方不得为谋取私利擅自与甲方工作人员就双方合同洽谈、签订及履行过程中的相关问题的处理进行私下商谈或者达成默契。</w:t>
      </w:r>
    </w:p>
    <w:p w14:paraId="79ED8DF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九、乙方不得以洽谈业务、签订合同为借口，邀请甲方工作人员外出旅游或/和进入营业性高档娱乐场所。</w:t>
      </w:r>
    </w:p>
    <w:p w14:paraId="74E09F04">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十、乙方不得为甲方单位、个人购置或提供通讯工具、交通工具、家电、高档办公用品等物品。</w:t>
      </w:r>
    </w:p>
    <w:p w14:paraId="3BA7D103">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十一、乙方不得与甲方单位或个人及其亲友间进行任何形式之借贷、租赁、投资及任何非直接工作往来的活动。</w:t>
      </w:r>
    </w:p>
    <w:p w14:paraId="40DFFB4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二、乙方如发现甲方工作人员在日常业务过程中有任何索贿行为，乙方必须立即拒绝，并向甲方单位举报。若乙方对甲方人员的索贿行为不拒绝、不举报，并满足其要求的，则该行为视同乙方的贿赂行为，乙方应当承担相应的责任。甲方不得以任何借口对乙方的举报行为进行报复。甲方对举报属实和严格遵守廉洁协议的乙方，在同等条件下优先列入甲方合格供应商名录。</w:t>
      </w:r>
    </w:p>
    <w:p w14:paraId="5CC2A1CB">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三、甲方发现乙方有违反本协议或者采用不正当的手段行贿甲方工作人员行为的，甲方根据具体情节和造成的后果，将有权：①将乙方列为不合格供应商并不再与乙方开展任何形式的合作；②立即终止与乙方签订的尚未履行完毕的合同；③要求乙方按双方签订的合同总金额的</w:t>
      </w:r>
      <w:r>
        <w:rPr>
          <w:rFonts w:ascii="宋体" w:hAnsi="宋体"/>
          <w:color w:val="auto"/>
          <w:szCs w:val="21"/>
          <w:highlight w:val="none"/>
          <w:lang w:eastAsia="zh-CN"/>
        </w:rPr>
        <w:t>l</w:t>
      </w:r>
      <w:r>
        <w:rPr>
          <w:rFonts w:hint="eastAsia" w:ascii="宋体" w:hAnsi="宋体"/>
          <w:color w:val="auto"/>
          <w:szCs w:val="21"/>
          <w:highlight w:val="none"/>
          <w:lang w:eastAsia="zh-CN"/>
        </w:rPr>
        <w:t>-</w:t>
      </w:r>
      <w:r>
        <w:rPr>
          <w:rFonts w:ascii="宋体" w:hAnsi="宋体"/>
          <w:color w:val="auto"/>
          <w:szCs w:val="21"/>
          <w:highlight w:val="none"/>
          <w:lang w:eastAsia="zh-CN"/>
        </w:rPr>
        <w:t>5</w:t>
      </w:r>
      <w:r>
        <w:rPr>
          <w:rFonts w:hint="eastAsia" w:ascii="宋体" w:hAnsi="宋体"/>
          <w:color w:val="auto"/>
          <w:szCs w:val="21"/>
          <w:highlight w:val="none"/>
          <w:lang w:eastAsia="zh-CN"/>
        </w:rPr>
        <w:t>％的向甲方支付违约金；④如由此给甲方造成其他损失的均由乙方全部承担；⑤乙方用不正当手段获取的非法所得由甲方予以追缴；⑥对涉及的相关人员，由甲方移送有关主管部门按有关规定进行查处。</w:t>
      </w:r>
    </w:p>
    <w:p w14:paraId="28760FEA">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十四、本《廉洁协议》作为甲乙双方签订的采购合同的有效附件，并与采购合同具有同等法律效力。</w:t>
      </w:r>
    </w:p>
    <w:p w14:paraId="177EA236">
      <w:pPr>
        <w:snapToGrid w:val="0"/>
        <w:spacing w:line="460" w:lineRule="exact"/>
        <w:ind w:left="440" w:hanging="420" w:hangingChars="200"/>
        <w:rPr>
          <w:rFonts w:ascii="宋体" w:hAnsi="宋体"/>
          <w:color w:val="auto"/>
          <w:szCs w:val="21"/>
          <w:highlight w:val="none"/>
          <w:lang w:eastAsia="zh-CN"/>
        </w:rPr>
      </w:pPr>
      <w:r>
        <w:rPr>
          <w:rFonts w:hint="eastAsia" w:ascii="宋体" w:hAnsi="宋体"/>
          <w:color w:val="auto"/>
          <w:szCs w:val="21"/>
          <w:highlight w:val="none"/>
          <w:lang w:eastAsia="zh-CN"/>
        </w:rPr>
        <w:t>十五、双方采购业务关系变更或解除，不影响甲方按本协议约定向乙方追究责任及要求赔偿损失的权利。</w:t>
      </w:r>
    </w:p>
    <w:p w14:paraId="2D48E4AE">
      <w:pPr>
        <w:snapToGrid w:val="0"/>
        <w:spacing w:line="460" w:lineRule="exact"/>
        <w:rPr>
          <w:rFonts w:ascii="宋体" w:hAnsi="宋体"/>
          <w:color w:val="auto"/>
          <w:szCs w:val="21"/>
          <w:highlight w:val="none"/>
          <w:lang w:eastAsia="zh-CN"/>
        </w:rPr>
      </w:pPr>
      <w:r>
        <w:rPr>
          <w:rFonts w:hint="eastAsia" w:ascii="宋体" w:hAnsi="宋体"/>
          <w:color w:val="auto"/>
          <w:szCs w:val="21"/>
          <w:highlight w:val="none"/>
          <w:lang w:eastAsia="zh-CN"/>
        </w:rPr>
        <w:t>十六、本协议一式贰份，甲、乙双方各执壹份。</w:t>
      </w:r>
    </w:p>
    <w:p w14:paraId="0C0BA63A">
      <w:pPr>
        <w:pStyle w:val="2"/>
        <w:spacing w:line="360" w:lineRule="auto"/>
        <w:ind w:left="0" w:leftChars="0" w:firstLine="0" w:firstLineChars="0"/>
        <w:rPr>
          <w:rFonts w:ascii="宋体" w:hAnsi="宋体" w:eastAsia="宋体" w:cs="宋体"/>
          <w:sz w:val="24"/>
          <w:szCs w:val="24"/>
        </w:rPr>
      </w:pPr>
    </w:p>
    <w:sectPr>
      <w:headerReference r:id="rId8" w:type="default"/>
      <w:footerReference r:id="rId9" w:type="default"/>
      <w:pgSz w:w="11905" w:h="16838"/>
      <w:pgMar w:top="1389" w:right="1202" w:bottom="1389" w:left="1434" w:header="851" w:footer="10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libr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98A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5E4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E8C3B">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33E8C3B">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28A43">
    <w:pPr>
      <w:pStyle w:val="11"/>
    </w:pPr>
    <w:r>
      <mc:AlternateContent>
        <mc:Choice Requires="wps">
          <w:drawing>
            <wp:anchor distT="0" distB="0" distL="114300" distR="114300" simplePos="0" relativeHeight="251659264" behindDoc="0" locked="0" layoutInCell="1" allowOverlap="1">
              <wp:simplePos x="0" y="0"/>
              <wp:positionH relativeFrom="margin">
                <wp:posOffset>2907030</wp:posOffset>
              </wp:positionH>
              <wp:positionV relativeFrom="paragraph">
                <wp:posOffset>635</wp:posOffset>
              </wp:positionV>
              <wp:extent cx="289560" cy="171450"/>
              <wp:effectExtent l="0" t="0" r="15240" b="0"/>
              <wp:wrapNone/>
              <wp:docPr id="12" name="文本框 12"/>
              <wp:cNvGraphicFramePr/>
              <a:graphic xmlns:a="http://schemas.openxmlformats.org/drawingml/2006/main">
                <a:graphicData uri="http://schemas.microsoft.com/office/word/2010/wordprocessingShape">
                  <wps:wsp>
                    <wps:cNvSpPr txBox="1"/>
                    <wps:spPr>
                      <a:xfrm>
                        <a:off x="0" y="0"/>
                        <a:ext cx="289560"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9B47B">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8.9pt;margin-top:0.05pt;height:13.5pt;width:22.8pt;mso-position-horizontal-relative:margin;z-index:251659264;mso-width-relative:page;mso-height-relative:page;" filled="f" stroked="f" coordsize="21600,21600" o:gfxdata="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X0BGI1QAAAAcBAAAPAAAAAAAAAAEAIAAAACIAAABkcnMvZG93bnJldi54bWxQSwEC&#10;FAAUAAAACACHTuJArhTFAjACAABXBAAADgAAAAAAAAABACAAAAAkAQAAZHJzL2Uyb0RvYy54bWxQ&#10;SwUGAAAAAAYABgBZAQAAxgUAAAAA&#10;">
              <v:fill on="f" focussize="0,0"/>
              <v:stroke on="f" weight="0.5pt"/>
              <v:imagedata o:title=""/>
              <o:lock v:ext="edit" aspectratio="f"/>
              <v:textbox inset="0mm,0mm,0mm,0mm">
                <w:txbxContent>
                  <w:p w14:paraId="3049B47B">
                    <w:pPr>
                      <w:pStyle w:val="11"/>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15</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CD255">
    <w:pPr>
      <w:spacing w:before="224" w:line="185" w:lineRule="auto"/>
      <w:ind w:firstLine="1802"/>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26D1B">
    <w:pPr>
      <w:spacing w:before="224" w:line="185" w:lineRule="auto"/>
      <w:rPr>
        <w:rFonts w:ascii="宋体" w:hAnsi="宋体" w:eastAsia="宋体" w:cs="宋体"/>
        <w:sz w:val="28"/>
        <w:szCs w:val="28"/>
      </w:rPr>
    </w:pPr>
    <w:r>
      <w:drawing>
        <wp:inline distT="0" distB="0" distL="114300" distR="114300">
          <wp:extent cx="3980815" cy="428625"/>
          <wp:effectExtent l="0" t="0" r="0" b="0"/>
          <wp:docPr id="1" name="图片 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中国机械总院集团海西（福建）分院有限公司"/>
                  <pic:cNvPicPr>
                    <a:picLocks noChangeAspect="1"/>
                  </pic:cNvPicPr>
                </pic:nvPicPr>
                <pic:blipFill>
                  <a:blip r:embed="rId1"/>
                  <a:srcRect l="6195" t="36732" b="24043"/>
                  <a:stretch>
                    <a:fillRect/>
                  </a:stretch>
                </pic:blipFill>
                <pic:spPr>
                  <a:xfrm>
                    <a:off x="0" y="0"/>
                    <a:ext cx="3980815" cy="428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87DC8">
    <w:pPr>
      <w:spacing w:before="224" w:line="185" w:lineRule="auto"/>
      <w:rPr>
        <w:rFonts w:hint="eastAsia" w:ascii="宋体" w:hAnsi="宋体" w:eastAsia="宋体" w:cs="宋体"/>
        <w:sz w:val="28"/>
        <w:szCs w:val="28"/>
        <w:lang w:eastAsia="zh-CN"/>
      </w:rPr>
    </w:pPr>
    <w:r>
      <w:drawing>
        <wp:inline distT="0" distB="0" distL="114300" distR="114300">
          <wp:extent cx="3848100" cy="6477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
                  <a:stretch>
                    <a:fillRect/>
                  </a:stretch>
                </pic:blipFill>
                <pic:spPr>
                  <a:xfrm>
                    <a:off x="0" y="0"/>
                    <a:ext cx="3848100" cy="64770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07539">
    <w:pPr>
      <w:spacing w:before="224" w:line="185" w:lineRule="auto"/>
      <w:rPr>
        <w:rFonts w:ascii="宋体" w:hAnsi="宋体" w:eastAsia="宋体" w:cs="宋体"/>
        <w:sz w:val="28"/>
        <w:szCs w:val="28"/>
      </w:rPr>
    </w:pPr>
    <w:bookmarkStart w:id="6" w:name="_bookmark18"/>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BEB22"/>
    <w:multiLevelType w:val="singleLevel"/>
    <w:tmpl w:val="8AABEB22"/>
    <w:lvl w:ilvl="0" w:tentative="0">
      <w:start w:val="3"/>
      <w:numFmt w:val="chineseCounting"/>
      <w:suff w:val="nothing"/>
      <w:lvlText w:val="%1、"/>
      <w:lvlJc w:val="left"/>
      <w:rPr>
        <w:rFonts w:hint="eastAsia"/>
      </w:rPr>
    </w:lvl>
  </w:abstractNum>
  <w:abstractNum w:abstractNumId="1">
    <w:nsid w:val="A5F09BD6"/>
    <w:multiLevelType w:val="singleLevel"/>
    <w:tmpl w:val="A5F09BD6"/>
    <w:lvl w:ilvl="0" w:tentative="0">
      <w:start w:val="1"/>
      <w:numFmt w:val="decimal"/>
      <w:suff w:val="nothing"/>
      <w:lvlText w:val="%1、"/>
      <w:lvlJc w:val="left"/>
    </w:lvl>
  </w:abstractNum>
  <w:abstractNum w:abstractNumId="2">
    <w:nsid w:val="E757BAAB"/>
    <w:multiLevelType w:val="singleLevel"/>
    <w:tmpl w:val="E757BAAB"/>
    <w:lvl w:ilvl="0" w:tentative="0">
      <w:start w:val="3"/>
      <w:numFmt w:val="decimal"/>
      <w:suff w:val="nothing"/>
      <w:lvlText w:val="%1、"/>
      <w:lvlJc w:val="left"/>
    </w:lvl>
  </w:abstractNum>
  <w:abstractNum w:abstractNumId="3">
    <w:nsid w:val="12A8B50E"/>
    <w:multiLevelType w:val="singleLevel"/>
    <w:tmpl w:val="12A8B50E"/>
    <w:lvl w:ilvl="0" w:tentative="0">
      <w:start w:val="2"/>
      <w:numFmt w:val="chineseCounting"/>
      <w:suff w:val="nothing"/>
      <w:lvlText w:val="%1、"/>
      <w:lvlJc w:val="left"/>
      <w:rPr>
        <w:rFonts w:hint="eastAsia"/>
      </w:rPr>
    </w:lvl>
  </w:abstractNum>
  <w:abstractNum w:abstractNumId="4">
    <w:nsid w:val="1A1831C9"/>
    <w:multiLevelType w:val="multilevel"/>
    <w:tmpl w:val="1A1831C9"/>
    <w:lvl w:ilvl="0" w:tentative="0">
      <w:start w:val="1"/>
      <w:numFmt w:val="decimal"/>
      <w:lvlText w:val="（%1）"/>
      <w:lvlJc w:val="left"/>
      <w:pPr>
        <w:ind w:left="720" w:hanging="360"/>
      </w:pPr>
      <w:rPr>
        <w:sz w:val="23"/>
        <w:szCs w:val="23"/>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BEE2314"/>
    <w:multiLevelType w:val="multilevel"/>
    <w:tmpl w:val="1BEE2314"/>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2E90870"/>
    <w:multiLevelType w:val="multilevel"/>
    <w:tmpl w:val="22E90870"/>
    <w:lvl w:ilvl="0" w:tentative="0">
      <w:start w:val="1"/>
      <w:numFmt w:val="decimal"/>
      <w:lvlText w:val="（%1）"/>
      <w:lvlJc w:val="left"/>
      <w:pPr>
        <w:ind w:left="900" w:hanging="360"/>
      </w:pPr>
      <w:rPr>
        <w:sz w:val="23"/>
        <w:szCs w:val="23"/>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7">
    <w:nsid w:val="460C6A6F"/>
    <w:multiLevelType w:val="singleLevel"/>
    <w:tmpl w:val="460C6A6F"/>
    <w:lvl w:ilvl="0" w:tentative="0">
      <w:start w:val="1"/>
      <w:numFmt w:val="japaneseCounting"/>
      <w:lvlText w:val="%1."/>
      <w:lvlJc w:val="left"/>
      <w:pPr>
        <w:tabs>
          <w:tab w:val="left" w:pos="420"/>
        </w:tabs>
        <w:ind w:left="420" w:hanging="420"/>
      </w:pPr>
    </w:lvl>
  </w:abstractNum>
  <w:abstractNum w:abstractNumId="8">
    <w:nsid w:val="65361B2D"/>
    <w:multiLevelType w:val="multilevel"/>
    <w:tmpl w:val="65361B2D"/>
    <w:lvl w:ilvl="0" w:tentative="0">
      <w:start w:val="1"/>
      <w:numFmt w:val="decimal"/>
      <w:lvlText w:val="（%1）"/>
      <w:lvlJc w:val="left"/>
      <w:pPr>
        <w:ind w:left="995" w:hanging="360"/>
      </w:pPr>
      <w:rPr>
        <w:sz w:val="23"/>
        <w:szCs w:val="23"/>
      </w:rPr>
    </w:lvl>
    <w:lvl w:ilvl="1" w:tentative="0">
      <w:start w:val="1"/>
      <w:numFmt w:val="lowerLetter"/>
      <w:lvlText w:val="%2."/>
      <w:lvlJc w:val="left"/>
      <w:pPr>
        <w:ind w:left="1715" w:hanging="360"/>
      </w:pPr>
    </w:lvl>
    <w:lvl w:ilvl="2" w:tentative="0">
      <w:start w:val="1"/>
      <w:numFmt w:val="lowerRoman"/>
      <w:lvlText w:val="%3."/>
      <w:lvlJc w:val="right"/>
      <w:pPr>
        <w:ind w:left="2435" w:hanging="180"/>
      </w:pPr>
    </w:lvl>
    <w:lvl w:ilvl="3" w:tentative="0">
      <w:start w:val="1"/>
      <w:numFmt w:val="decimal"/>
      <w:lvlText w:val="%4."/>
      <w:lvlJc w:val="left"/>
      <w:pPr>
        <w:ind w:left="3155" w:hanging="360"/>
      </w:pPr>
    </w:lvl>
    <w:lvl w:ilvl="4" w:tentative="0">
      <w:start w:val="1"/>
      <w:numFmt w:val="lowerLetter"/>
      <w:lvlText w:val="%5."/>
      <w:lvlJc w:val="left"/>
      <w:pPr>
        <w:ind w:left="3875" w:hanging="360"/>
      </w:pPr>
    </w:lvl>
    <w:lvl w:ilvl="5" w:tentative="0">
      <w:start w:val="1"/>
      <w:numFmt w:val="lowerRoman"/>
      <w:lvlText w:val="%6."/>
      <w:lvlJc w:val="right"/>
      <w:pPr>
        <w:ind w:left="4595" w:hanging="180"/>
      </w:pPr>
    </w:lvl>
    <w:lvl w:ilvl="6" w:tentative="0">
      <w:start w:val="1"/>
      <w:numFmt w:val="decimal"/>
      <w:lvlText w:val="%7."/>
      <w:lvlJc w:val="left"/>
      <w:pPr>
        <w:ind w:left="5315" w:hanging="360"/>
      </w:pPr>
    </w:lvl>
    <w:lvl w:ilvl="7" w:tentative="0">
      <w:start w:val="1"/>
      <w:numFmt w:val="lowerLetter"/>
      <w:lvlText w:val="%8."/>
      <w:lvlJc w:val="left"/>
      <w:pPr>
        <w:ind w:left="6035" w:hanging="360"/>
      </w:pPr>
    </w:lvl>
    <w:lvl w:ilvl="8" w:tentative="0">
      <w:start w:val="1"/>
      <w:numFmt w:val="lowerRoman"/>
      <w:lvlText w:val="%9."/>
      <w:lvlJc w:val="right"/>
      <w:pPr>
        <w:ind w:left="6755" w:hanging="180"/>
      </w:pPr>
    </w:lvl>
  </w:abstractNum>
  <w:abstractNum w:abstractNumId="9">
    <w:nsid w:val="79310C4E"/>
    <w:multiLevelType w:val="multilevel"/>
    <w:tmpl w:val="79310C4E"/>
    <w:lvl w:ilvl="0" w:tentative="0">
      <w:start w:val="1"/>
      <w:numFmt w:val="decimal"/>
      <w:lvlText w:val="（%1）"/>
      <w:lvlJc w:val="left"/>
      <w:pPr>
        <w:ind w:left="720" w:hanging="360"/>
      </w:pPr>
      <w:rPr>
        <w:rFonts w:hint="default" w:ascii="Arial" w:hAnsi="Arial" w:cs="Aria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7"/>
    <w:lvlOverride w:ilvl="0">
      <w:startOverride w:val="1"/>
    </w:lvlOverride>
  </w:num>
  <w:num w:numId="3">
    <w:abstractNumId w:val="3"/>
  </w:num>
  <w:num w:numId="4">
    <w:abstractNumId w:val="0"/>
  </w:num>
  <w:num w:numId="5">
    <w:abstractNumId w:val="1"/>
  </w:num>
  <w:num w:numId="6">
    <w:abstractNumId w:val="9"/>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ZTQ1M2Y3ZTE4MmQxNzlmZWI0NDRhNDkzMTIzOGEifQ=="/>
  </w:docVars>
  <w:rsids>
    <w:rsidRoot w:val="78EE6CAC"/>
    <w:rsid w:val="00044EF2"/>
    <w:rsid w:val="001A50E8"/>
    <w:rsid w:val="001C3F19"/>
    <w:rsid w:val="00212D19"/>
    <w:rsid w:val="00254D24"/>
    <w:rsid w:val="007F65BF"/>
    <w:rsid w:val="00834647"/>
    <w:rsid w:val="009922AC"/>
    <w:rsid w:val="00AB69B7"/>
    <w:rsid w:val="00CD3536"/>
    <w:rsid w:val="00DF42CC"/>
    <w:rsid w:val="00E306D6"/>
    <w:rsid w:val="00EE42BF"/>
    <w:rsid w:val="00F639E6"/>
    <w:rsid w:val="00F84B9D"/>
    <w:rsid w:val="01DE5DA6"/>
    <w:rsid w:val="0247556A"/>
    <w:rsid w:val="03254F41"/>
    <w:rsid w:val="032B09E8"/>
    <w:rsid w:val="04243986"/>
    <w:rsid w:val="045F783F"/>
    <w:rsid w:val="04892C2C"/>
    <w:rsid w:val="065625D5"/>
    <w:rsid w:val="066C0621"/>
    <w:rsid w:val="06D66EBD"/>
    <w:rsid w:val="0793771E"/>
    <w:rsid w:val="082B434D"/>
    <w:rsid w:val="08E31B8A"/>
    <w:rsid w:val="08F42E83"/>
    <w:rsid w:val="0B923CFA"/>
    <w:rsid w:val="0BCD088E"/>
    <w:rsid w:val="0D702EC6"/>
    <w:rsid w:val="0DB61B71"/>
    <w:rsid w:val="0E575BAE"/>
    <w:rsid w:val="0F707EAE"/>
    <w:rsid w:val="0F821347"/>
    <w:rsid w:val="0F935D46"/>
    <w:rsid w:val="0FEC38CF"/>
    <w:rsid w:val="10400AA6"/>
    <w:rsid w:val="119D5615"/>
    <w:rsid w:val="11C46BCB"/>
    <w:rsid w:val="11F63442"/>
    <w:rsid w:val="13DB58D6"/>
    <w:rsid w:val="1441006B"/>
    <w:rsid w:val="14A910E0"/>
    <w:rsid w:val="15494E33"/>
    <w:rsid w:val="162714E3"/>
    <w:rsid w:val="165D18B7"/>
    <w:rsid w:val="169561AB"/>
    <w:rsid w:val="17F463E4"/>
    <w:rsid w:val="17F906B8"/>
    <w:rsid w:val="185365BF"/>
    <w:rsid w:val="189240B8"/>
    <w:rsid w:val="19416EE3"/>
    <w:rsid w:val="199155F1"/>
    <w:rsid w:val="19F83B84"/>
    <w:rsid w:val="1A2B2E16"/>
    <w:rsid w:val="1A3441CE"/>
    <w:rsid w:val="1C6A2129"/>
    <w:rsid w:val="1CA420EE"/>
    <w:rsid w:val="1D294680"/>
    <w:rsid w:val="1D406077"/>
    <w:rsid w:val="1DB76376"/>
    <w:rsid w:val="1F9C01BD"/>
    <w:rsid w:val="209854B7"/>
    <w:rsid w:val="21091236"/>
    <w:rsid w:val="22C96EF1"/>
    <w:rsid w:val="22EB3E7F"/>
    <w:rsid w:val="22F1792F"/>
    <w:rsid w:val="24151D08"/>
    <w:rsid w:val="2432352D"/>
    <w:rsid w:val="2483647E"/>
    <w:rsid w:val="262056BE"/>
    <w:rsid w:val="26CB4A58"/>
    <w:rsid w:val="27230389"/>
    <w:rsid w:val="28677A51"/>
    <w:rsid w:val="28872C4F"/>
    <w:rsid w:val="29211B9F"/>
    <w:rsid w:val="295E6B72"/>
    <w:rsid w:val="29864257"/>
    <w:rsid w:val="29DE5491"/>
    <w:rsid w:val="2A7E20F7"/>
    <w:rsid w:val="2CD14227"/>
    <w:rsid w:val="2D42232F"/>
    <w:rsid w:val="2D4C717F"/>
    <w:rsid w:val="2D5D45BA"/>
    <w:rsid w:val="2DFC193A"/>
    <w:rsid w:val="2F032695"/>
    <w:rsid w:val="30000983"/>
    <w:rsid w:val="303625F7"/>
    <w:rsid w:val="305A4537"/>
    <w:rsid w:val="30D2231F"/>
    <w:rsid w:val="317038E6"/>
    <w:rsid w:val="32714F51"/>
    <w:rsid w:val="32F07319"/>
    <w:rsid w:val="33227389"/>
    <w:rsid w:val="33FF1058"/>
    <w:rsid w:val="36E0150E"/>
    <w:rsid w:val="37851EB2"/>
    <w:rsid w:val="37A833E7"/>
    <w:rsid w:val="37CA1AB9"/>
    <w:rsid w:val="38402D6A"/>
    <w:rsid w:val="38C22E16"/>
    <w:rsid w:val="391F2F2E"/>
    <w:rsid w:val="3A7A77C8"/>
    <w:rsid w:val="3B0F23C2"/>
    <w:rsid w:val="3C005BD0"/>
    <w:rsid w:val="3C236D8A"/>
    <w:rsid w:val="3CA8662A"/>
    <w:rsid w:val="3D430101"/>
    <w:rsid w:val="3D9B1CEB"/>
    <w:rsid w:val="3DE83A67"/>
    <w:rsid w:val="4004001B"/>
    <w:rsid w:val="404A1D0D"/>
    <w:rsid w:val="40C529A0"/>
    <w:rsid w:val="42CD2946"/>
    <w:rsid w:val="45C049E4"/>
    <w:rsid w:val="462C44F0"/>
    <w:rsid w:val="46A75AA7"/>
    <w:rsid w:val="46B97F68"/>
    <w:rsid w:val="46D64C42"/>
    <w:rsid w:val="47100713"/>
    <w:rsid w:val="474C1085"/>
    <w:rsid w:val="49203109"/>
    <w:rsid w:val="49AA0908"/>
    <w:rsid w:val="4A3E237C"/>
    <w:rsid w:val="4A946FEA"/>
    <w:rsid w:val="4AB34057"/>
    <w:rsid w:val="4AE14A72"/>
    <w:rsid w:val="4B17213F"/>
    <w:rsid w:val="4B5E45B8"/>
    <w:rsid w:val="4BF71DFE"/>
    <w:rsid w:val="4C0E5B77"/>
    <w:rsid w:val="4DC57782"/>
    <w:rsid w:val="4DF810AC"/>
    <w:rsid w:val="50F10148"/>
    <w:rsid w:val="50F32112"/>
    <w:rsid w:val="517645ED"/>
    <w:rsid w:val="51792D37"/>
    <w:rsid w:val="53326F35"/>
    <w:rsid w:val="53DA462E"/>
    <w:rsid w:val="53DA53DB"/>
    <w:rsid w:val="542425E2"/>
    <w:rsid w:val="54393EBB"/>
    <w:rsid w:val="54A874EE"/>
    <w:rsid w:val="55061CE8"/>
    <w:rsid w:val="550D5850"/>
    <w:rsid w:val="55B013F5"/>
    <w:rsid w:val="55CA11C1"/>
    <w:rsid w:val="5621082A"/>
    <w:rsid w:val="57377899"/>
    <w:rsid w:val="5756111B"/>
    <w:rsid w:val="582864A7"/>
    <w:rsid w:val="58D02D39"/>
    <w:rsid w:val="5A13454B"/>
    <w:rsid w:val="5A1D7123"/>
    <w:rsid w:val="5A513A05"/>
    <w:rsid w:val="5B570FD8"/>
    <w:rsid w:val="5DC2080A"/>
    <w:rsid w:val="5E4733C9"/>
    <w:rsid w:val="5E9A1B85"/>
    <w:rsid w:val="62E9512A"/>
    <w:rsid w:val="62FD1B62"/>
    <w:rsid w:val="641C7C95"/>
    <w:rsid w:val="656B5F2D"/>
    <w:rsid w:val="65B23EF2"/>
    <w:rsid w:val="662F0F0F"/>
    <w:rsid w:val="670A1B0C"/>
    <w:rsid w:val="67FF3F88"/>
    <w:rsid w:val="680B0D7B"/>
    <w:rsid w:val="684828EC"/>
    <w:rsid w:val="6A6D4009"/>
    <w:rsid w:val="6B1B44E6"/>
    <w:rsid w:val="6BB169FA"/>
    <w:rsid w:val="6C1A00FB"/>
    <w:rsid w:val="6C4907A0"/>
    <w:rsid w:val="6C4A4810"/>
    <w:rsid w:val="6C615D2A"/>
    <w:rsid w:val="6E0971BB"/>
    <w:rsid w:val="6F014E03"/>
    <w:rsid w:val="6FCA62DC"/>
    <w:rsid w:val="718B7618"/>
    <w:rsid w:val="71AA4AD5"/>
    <w:rsid w:val="733C304D"/>
    <w:rsid w:val="750A0CFF"/>
    <w:rsid w:val="76BC0952"/>
    <w:rsid w:val="788A2AAC"/>
    <w:rsid w:val="78EE6CAC"/>
    <w:rsid w:val="79F214BE"/>
    <w:rsid w:val="7A7953A0"/>
    <w:rsid w:val="7B5405E5"/>
    <w:rsid w:val="7BFE037F"/>
    <w:rsid w:val="7C3B7E88"/>
    <w:rsid w:val="7C603C27"/>
    <w:rsid w:val="7C975798"/>
    <w:rsid w:val="7CE714EC"/>
    <w:rsid w:val="7D3B19E1"/>
    <w:rsid w:val="7D507F04"/>
    <w:rsid w:val="7EB4439D"/>
    <w:rsid w:val="7EBD3628"/>
    <w:rsid w:val="7EEC216D"/>
    <w:rsid w:val="7F030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0"/>
    <w:pPr>
      <w:keepNext/>
      <w:keepLines/>
      <w:spacing w:before="50" w:beforeLines="50" w:line="360" w:lineRule="auto"/>
      <w:outlineLvl w:val="1"/>
    </w:pPr>
    <w:rPr>
      <w:rFonts w:eastAsia="宋体"/>
      <w:b/>
      <w:bCs/>
      <w:szCs w:val="32"/>
    </w:rPr>
  </w:style>
  <w:style w:type="paragraph" w:styleId="5">
    <w:name w:val="heading 3"/>
    <w:basedOn w:val="1"/>
    <w:next w:val="1"/>
    <w:qFormat/>
    <w:uiPriority w:val="0"/>
    <w:pPr>
      <w:keepNext/>
      <w:keepLines/>
      <w:spacing w:before="260" w:after="260" w:line="416" w:lineRule="auto"/>
      <w:jc w:val="center"/>
      <w:outlineLvl w:val="2"/>
    </w:pPr>
    <w:rPr>
      <w:bCs/>
      <w:sz w:val="28"/>
      <w:szCs w:val="32"/>
    </w:rPr>
  </w:style>
  <w:style w:type="paragraph" w:styleId="6">
    <w:name w:val="heading 4"/>
    <w:basedOn w:val="1"/>
    <w:next w:val="1"/>
    <w:qFormat/>
    <w:uiPriority w:val="0"/>
    <w:pPr>
      <w:keepNext/>
      <w:spacing w:line="300" w:lineRule="exact"/>
      <w:jc w:val="center"/>
      <w:outlineLvl w:val="3"/>
    </w:pPr>
    <w:rPr>
      <w:rFonts w:ascii="楷体_GB2312" w:eastAsia="楷体_GB2312"/>
      <w:color w:val="800080"/>
      <w:sz w:val="3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报告正文"/>
    <w:basedOn w:val="1"/>
    <w:qFormat/>
    <w:uiPriority w:val="99"/>
    <w:pPr>
      <w:spacing w:line="360" w:lineRule="auto"/>
      <w:ind w:firstLine="560" w:firstLineChars="200"/>
    </w:pPr>
    <w:rPr>
      <w:sz w:val="28"/>
      <w:szCs w:val="28"/>
    </w:rPr>
  </w:style>
  <w:style w:type="paragraph" w:styleId="7">
    <w:name w:val="Normal Indent"/>
    <w:basedOn w:val="1"/>
    <w:qFormat/>
    <w:uiPriority w:val="0"/>
    <w:pPr>
      <w:ind w:firstLine="420" w:firstLineChars="200"/>
    </w:pPr>
    <w:rPr>
      <w:rFonts w:ascii="Times New Roman" w:hAnsi="Times New Roman"/>
      <w:sz w:val="20"/>
      <w:szCs w:val="20"/>
    </w:rPr>
  </w:style>
  <w:style w:type="paragraph" w:styleId="8">
    <w:name w:val="Salutation"/>
    <w:basedOn w:val="1"/>
    <w:next w:val="1"/>
    <w:qFormat/>
    <w:uiPriority w:val="0"/>
    <w:rPr>
      <w:rFonts w:ascii="仿宋_GB2312;仿宋" w:hAnsi="仿宋_GB2312;仿宋" w:eastAsia="仿宋_GB2312;仿宋" w:cs="宋体;SimSun"/>
      <w:sz w:val="24"/>
      <w:lang w:val="zh-CN"/>
    </w:rPr>
  </w:style>
  <w:style w:type="paragraph" w:styleId="9">
    <w:name w:val="Body Text"/>
    <w:basedOn w:val="1"/>
    <w:qFormat/>
    <w:uiPriority w:val="1"/>
    <w:rPr>
      <w:rFonts w:ascii="宋体" w:hAnsi="宋体" w:eastAsia="宋体" w:cs="宋体"/>
      <w:sz w:val="24"/>
      <w:szCs w:val="24"/>
      <w:lang w:val="zh-CN" w:bidi="zh-CN"/>
    </w:rPr>
  </w:style>
  <w:style w:type="paragraph" w:styleId="10">
    <w:name w:val="index 4"/>
    <w:basedOn w:val="1"/>
    <w:next w:val="1"/>
    <w:unhideWhenUsed/>
    <w:qFormat/>
    <w:uiPriority w:val="99"/>
    <w:pPr>
      <w:ind w:left="600" w:leftChars="600"/>
    </w:pPr>
    <w:rPr>
      <w:rFonts w:ascii="Verdana" w:hAnsi="Verdana"/>
      <w:szCs w:val="20"/>
    </w:rPr>
  </w:style>
  <w:style w:type="paragraph" w:styleId="11">
    <w:name w:val="footer"/>
    <w:basedOn w:val="1"/>
    <w:qFormat/>
    <w:uiPriority w:val="0"/>
    <w:pPr>
      <w:tabs>
        <w:tab w:val="center" w:pos="4153"/>
        <w:tab w:val="right" w:pos="8306"/>
      </w:tabs>
    </w:pPr>
    <w:rPr>
      <w:sz w:val="18"/>
    </w:rPr>
  </w:style>
  <w:style w:type="paragraph" w:styleId="12">
    <w:name w:val="header"/>
    <w:basedOn w:val="1"/>
    <w:unhideWhenUsed/>
    <w:qFormat/>
    <w:uiPriority w:val="99"/>
    <w:pPr>
      <w:pBdr>
        <w:bottom w:val="single" w:color="auto" w:sz="6" w:space="1"/>
      </w:pBdr>
      <w:tabs>
        <w:tab w:val="center" w:pos="4153"/>
        <w:tab w:val="right" w:pos="8306"/>
      </w:tabs>
      <w:jc w:val="center"/>
    </w:pPr>
    <w:rPr>
      <w:rFonts w:ascii="宋体" w:eastAsia="宋体"/>
      <w:sz w:val="18"/>
      <w:szCs w:val="18"/>
    </w:rPr>
  </w:style>
  <w:style w:type="paragraph" w:styleId="13">
    <w:name w:val="toc 1"/>
    <w:basedOn w:val="1"/>
    <w:next w:val="1"/>
    <w:qFormat/>
    <w:uiPriority w:val="39"/>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table" w:customStyle="1" w:styleId="18">
    <w:name w:val="Table Normal"/>
    <w:semiHidden/>
    <w:unhideWhenUsed/>
    <w:qFormat/>
    <w:uiPriority w:val="0"/>
    <w:tblPr>
      <w:tblCellMar>
        <w:top w:w="0" w:type="dxa"/>
        <w:left w:w="0" w:type="dxa"/>
        <w:bottom w:w="0" w:type="dxa"/>
        <w:right w:w="0" w:type="dxa"/>
      </w:tblCellMar>
    </w:tblPr>
  </w:style>
  <w:style w:type="character" w:customStyle="1" w:styleId="19">
    <w:name w:val="font01"/>
    <w:basedOn w:val="16"/>
    <w:qFormat/>
    <w:uiPriority w:val="0"/>
    <w:rPr>
      <w:rFonts w:hint="eastAsia" w:ascii="宋体" w:hAnsi="宋体" w:eastAsia="宋体" w:cs="宋体"/>
      <w:color w:val="000000"/>
      <w:sz w:val="24"/>
      <w:szCs w:val="24"/>
      <w:u w:val="none"/>
      <w:vertAlign w:val="superscript"/>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99"/>
    <w:pPr>
      <w:ind w:firstLine="420" w:firstLineChars="200"/>
    </w:pPr>
  </w:style>
  <w:style w:type="character" w:customStyle="1" w:styleId="22">
    <w:name w:val="font31"/>
    <w:basedOn w:val="16"/>
    <w:qFormat/>
    <w:uiPriority w:val="0"/>
    <w:rPr>
      <w:rFonts w:hint="eastAsia" w:ascii="宋体" w:hAnsi="宋体" w:eastAsia="宋体" w:cs="宋体"/>
      <w:b/>
      <w:bCs/>
      <w:color w:val="000000"/>
      <w:sz w:val="20"/>
      <w:szCs w:val="20"/>
      <w:u w:val="none"/>
    </w:rPr>
  </w:style>
  <w:style w:type="character" w:customStyle="1" w:styleId="23">
    <w:name w:val="font11"/>
    <w:basedOn w:val="16"/>
    <w:qFormat/>
    <w:uiPriority w:val="0"/>
    <w:rPr>
      <w:rFonts w:hint="eastAsia" w:ascii="宋体" w:hAnsi="宋体" w:eastAsia="宋体" w:cs="宋体"/>
      <w:color w:val="000000"/>
      <w:sz w:val="20"/>
      <w:szCs w:val="20"/>
      <w:u w:val="none"/>
    </w:rPr>
  </w:style>
  <w:style w:type="paragraph" w:customStyle="1" w:styleId="24">
    <w:name w:val="Table Paragraph"/>
    <w:basedOn w:val="1"/>
    <w:qFormat/>
    <w:uiPriority w:val="1"/>
    <w:pPr>
      <w:widowControl w:val="0"/>
      <w:kinsoku/>
      <w:snapToGrid/>
      <w:textAlignment w:val="auto"/>
    </w:pPr>
    <w:rPr>
      <w:rFonts w:ascii="Times New Roman" w:hAnsi="Times New Roman" w:cs="Times New Roman" w:eastAsiaTheme="minorEastAsia"/>
      <w:snapToGrid/>
      <w:color w:val="auto"/>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4651</Words>
  <Characters>5202</Characters>
  <Lines>44</Lines>
  <Paragraphs>12</Paragraphs>
  <TotalTime>2</TotalTime>
  <ScaleCrop>false</ScaleCrop>
  <LinksUpToDate>false</LinksUpToDate>
  <CharactersWithSpaces>5342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2022-03-25T00:19:00Z</dcterms:created>
  <dc:creator> Mr.Guang</dc:creator>
  <cp:lastModifiedBy>冷</cp:lastModifiedBy>
  <cp:lastPrinted>2025-04-23T08:02:00Z</cp:lastPrinted>
  <dcterms:modified xsi:type="dcterms:W3CDTF">2025-06-03T14:42:37Z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8D16427873DC42C0A879D5D40ABF4B47_13</vt:lpwstr>
  </property>
  <property fmtid="{D5CDD505-2E9C-101B-9397-08002B2CF9AE}" pid="4" name="KSOTemplateDocerSaveRecord">
    <vt:lpwstr>eyJoZGlkIjoiMWYzZTQ1M2Y3ZTE4MmQxNzlmZWI0NDRhNDkzMTIzOGEiLCJ1c2VySWQiOiI0NDI4ODYxODMifQ==</vt:lpwstr>
  </property>
</Properties>
</file>