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14049"/>
      <w:bookmarkStart w:id="1" w:name="_Toc27807"/>
    </w:p>
    <w:p w14:paraId="5B7F7DA7">
      <w:pPr>
        <w:pStyle w:val="16"/>
        <w:rPr>
          <w:rFonts w:hint="eastAsia" w:ascii="宋体" w:hAnsi="宋体" w:eastAsia="宋体" w:cs="宋体"/>
        </w:rPr>
      </w:pPr>
    </w:p>
    <w:p w14:paraId="4412ACBA">
      <w:pPr>
        <w:pStyle w:val="16"/>
        <w:rPr>
          <w:rFonts w:hint="eastAsia" w:ascii="宋体" w:hAnsi="宋体" w:eastAsia="宋体" w:cs="宋体"/>
        </w:rPr>
      </w:pPr>
    </w:p>
    <w:p w14:paraId="379A0450">
      <w:pPr>
        <w:pStyle w:val="16"/>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静压导轨机加件</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w:t>
      </w:r>
      <w:r>
        <w:rPr>
          <w:rFonts w:hint="eastAsia" w:ascii="宋体" w:hAnsi="宋体" w:eastAsia="宋体" w:cs="宋体"/>
          <w:b w:val="0"/>
          <w:bCs w:val="0"/>
          <w:sz w:val="52"/>
          <w:szCs w:val="52"/>
          <w:highlight w:val="none"/>
          <w:lang w:val="en-US" w:eastAsia="zh-CN"/>
        </w:rPr>
        <w:t>QZ</w:t>
      </w:r>
      <w:r>
        <w:rPr>
          <w:rFonts w:hint="eastAsia" w:ascii="宋体" w:hAnsi="宋体" w:eastAsia="宋体" w:cs="宋体"/>
          <w:b w:val="0"/>
          <w:bCs w:val="0"/>
          <w:sz w:val="52"/>
          <w:szCs w:val="52"/>
          <w:highlight w:val="none"/>
          <w:lang w:eastAsia="zh-CN"/>
        </w:rPr>
        <w:t>ZB202</w:t>
      </w:r>
      <w:r>
        <w:rPr>
          <w:rFonts w:hint="eastAsia" w:ascii="宋体" w:hAnsi="宋体" w:eastAsia="宋体" w:cs="宋体"/>
          <w:b w:val="0"/>
          <w:bCs w:val="0"/>
          <w:sz w:val="52"/>
          <w:szCs w:val="52"/>
          <w:highlight w:val="none"/>
          <w:lang w:val="en-US" w:eastAsia="zh-CN"/>
        </w:rPr>
        <w:t>5030401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16"/>
        <w:rPr>
          <w:rFonts w:hint="eastAsia" w:ascii="宋体" w:hAnsi="宋体" w:eastAsia="宋体" w:cs="宋体"/>
        </w:rPr>
      </w:pPr>
    </w:p>
    <w:p w14:paraId="3E5BC8F8">
      <w:pPr>
        <w:pStyle w:val="16"/>
        <w:rPr>
          <w:rFonts w:hint="eastAsia" w:ascii="宋体" w:hAnsi="宋体" w:eastAsia="宋体" w:cs="宋体"/>
        </w:rPr>
      </w:pPr>
    </w:p>
    <w:p w14:paraId="49993E69">
      <w:pPr>
        <w:pStyle w:val="16"/>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default" w:ascii="宋体" w:hAnsi="宋体" w:eastAsia="宋体" w:cs="宋体"/>
          <w:sz w:val="32"/>
          <w:szCs w:val="32"/>
          <w:lang w:val="en-US" w:eastAsia="zh-CN"/>
        </w:rPr>
      </w:pPr>
      <w:bookmarkStart w:id="7" w:name="_Toc28706"/>
      <w:bookmarkStart w:id="8" w:name="_Toc12968"/>
      <w:r>
        <w:rPr>
          <w:rFonts w:hint="eastAsia" w:ascii="宋体" w:hAnsi="宋体" w:eastAsia="宋体" w:cs="宋体"/>
          <w:sz w:val="32"/>
          <w:szCs w:val="32"/>
        </w:rPr>
        <w:t>招标人：</w:t>
      </w:r>
      <w:bookmarkEnd w:id="7"/>
      <w:bookmarkEnd w:id="8"/>
      <w:r>
        <w:rPr>
          <w:rFonts w:hint="eastAsia" w:ascii="宋体" w:hAnsi="宋体" w:eastAsia="宋体" w:cs="宋体"/>
          <w:sz w:val="32"/>
          <w:szCs w:val="32"/>
          <w:lang w:val="en-US" w:eastAsia="zh-CN"/>
        </w:rPr>
        <w:t>中机（泉州）精密装备有限公司</w:t>
      </w:r>
    </w:p>
    <w:p w14:paraId="7DD53396">
      <w:pPr>
        <w:spacing w:line="409" w:lineRule="auto"/>
        <w:rPr>
          <w:rFonts w:hint="eastAsia" w:ascii="宋体" w:hAnsi="宋体" w:eastAsia="宋体" w:cs="宋体"/>
        </w:rPr>
      </w:pPr>
    </w:p>
    <w:p w14:paraId="66E9E59C">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4日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一、招标书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8F1A40">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tabs>
              <w:tab w:val="right" w:leader="dot" w:pos="9183"/>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_Toc7216 </w:instrText>
          </w:r>
          <w:r>
            <w:rPr>
              <w:rFonts w:hint="eastAsia" w:ascii="宋体" w:hAnsi="宋体" w:eastAsia="宋体" w:cs="宋体"/>
              <w:b w:val="0"/>
              <w:bCs w:val="0"/>
              <w:sz w:val="24"/>
              <w:szCs w:val="24"/>
            </w:rPr>
            <w:fldChar w:fldCharType="separate"/>
          </w:r>
          <w:r>
            <w:rPr>
              <w:rFonts w:hint="eastAsia" w:ascii="宋体" w:hAnsi="宋体" w:eastAsia="宋体" w:cs="宋体"/>
              <w:b/>
              <w:bCs/>
              <w:sz w:val="24"/>
              <w:szCs w:val="24"/>
              <w:lang w:val="en-US" w:eastAsia="zh-CN"/>
            </w:rPr>
            <w:t>六</w:t>
          </w:r>
          <w:r>
            <w:rPr>
              <w:rFonts w:hint="eastAsia" w:ascii="宋体" w:hAnsi="宋体" w:eastAsia="宋体" w:cs="宋体"/>
              <w:b w:val="0"/>
              <w:bCs w:val="0"/>
              <w:spacing w:val="-3"/>
              <w:sz w:val="24"/>
              <w:szCs w:val="24"/>
              <w:lang w:val="en-US" w:eastAsia="zh-CN"/>
              <w14:textOutline w14:w="6527" w14:cap="flat" w14:cmpd="sng" w14:algn="ctr">
                <w14:solidFill>
                  <w14:srgbClr w14:val="000000"/>
                </w14:solidFill>
                <w14:prstDash w14:val="solid"/>
                <w14:miter w14:val="0"/>
              </w14:textOutline>
            </w:rPr>
            <w:t>、保密协议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_Toc7216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9FA98E2">
          <w:pPr>
            <w:pStyle w:val="13"/>
            <w:tabs>
              <w:tab w:val="right" w:leader="dot" w:pos="9183"/>
            </w:tabs>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_Toc30455 </w:instrText>
          </w:r>
          <w:r>
            <w:rPr>
              <w:rFonts w:hint="eastAsia" w:ascii="宋体" w:hAnsi="宋体" w:eastAsia="宋体" w:cs="宋体"/>
              <w:b w:val="0"/>
              <w:bCs w:val="0"/>
              <w:sz w:val="24"/>
              <w:szCs w:val="24"/>
            </w:rPr>
            <w:fldChar w:fldCharType="separate"/>
          </w:r>
          <w:r>
            <w:rPr>
              <w:rFonts w:hint="eastAsia" w:ascii="宋体" w:hAnsi="宋体" w:eastAsia="宋体" w:cs="宋体"/>
              <w:b/>
              <w:bCs/>
              <w:sz w:val="24"/>
              <w:szCs w:val="24"/>
              <w:lang w:val="en-US" w:eastAsia="zh-CN"/>
            </w:rPr>
            <w:t>七</w:t>
          </w:r>
          <w:r>
            <w:rPr>
              <w:rFonts w:hint="eastAsia" w:ascii="宋体" w:hAnsi="宋体" w:eastAsia="宋体" w:cs="宋体"/>
              <w:b w:val="0"/>
              <w:bCs w:val="0"/>
              <w:spacing w:val="-3"/>
              <w:sz w:val="24"/>
              <w:szCs w:val="24"/>
              <w:lang w:val="en-US" w:eastAsia="zh-CN"/>
              <w14:textOutline w14:w="6527" w14:cap="flat" w14:cmpd="sng" w14:algn="ctr">
                <w14:solidFill>
                  <w14:srgbClr w14:val="000000"/>
                </w14:solidFill>
                <w14:prstDash w14:val="solid"/>
                <w14:miter w14:val="0"/>
              </w14:textOutline>
            </w:rPr>
            <w:t>、采购合同（模版）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_Toc30455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7764BA86">
      <w:pPr>
        <w:pStyle w:val="16"/>
        <w:rPr>
          <w:rFonts w:hint="eastAsia"/>
          <w:lang w:val="en-US" w:eastAsia="zh-CN"/>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一、招标</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书</w:t>
      </w:r>
      <w:bookmarkEnd w:id="0"/>
      <w:bookmarkEnd w:id="1"/>
      <w:bookmarkEnd w:id="11"/>
    </w:p>
    <w:p w14:paraId="45B09563">
      <w:pPr>
        <w:tabs>
          <w:tab w:val="left" w:pos="1446"/>
        </w:tabs>
        <w:spacing w:line="360" w:lineRule="auto"/>
        <w:ind w:firstLine="480" w:firstLineChars="200"/>
        <w:rPr>
          <w:rFonts w:hint="eastAsia" w:ascii="宋体" w:hAnsi="宋体" w:eastAsia="宋体" w:cs="宋体"/>
          <w:sz w:val="24"/>
          <w:szCs w:val="24"/>
        </w:rPr>
      </w:pPr>
      <w:bookmarkStart w:id="12" w:name="_Hlk121147898"/>
      <w:r>
        <w:rPr>
          <w:rFonts w:hint="eastAsia" w:ascii="宋体" w:hAnsi="宋体" w:eastAsia="宋体" w:cs="宋体"/>
          <w:sz w:val="24"/>
          <w:szCs w:val="24"/>
        </w:rPr>
        <w:t>招标人</w:t>
      </w:r>
      <w:r>
        <w:rPr>
          <w:rFonts w:hint="eastAsia" w:ascii="宋体" w:hAnsi="宋体" w:eastAsia="宋体" w:cs="宋体"/>
          <w:b w:val="0"/>
          <w:bCs w:val="0"/>
          <w:i w:val="0"/>
          <w:iCs w:val="0"/>
          <w:caps w:val="0"/>
          <w:color w:val="000000"/>
          <w:spacing w:val="0"/>
          <w:sz w:val="24"/>
          <w:szCs w:val="24"/>
          <w:shd w:val="clear" w:fill="FFFFFF"/>
        </w:rPr>
        <w:t>中机（泉州）精密装备有限公司</w:t>
      </w:r>
      <w:r>
        <w:rPr>
          <w:rFonts w:hint="eastAsia" w:ascii="宋体" w:hAnsi="宋体" w:eastAsia="宋体" w:cs="宋体"/>
          <w:sz w:val="24"/>
          <w:szCs w:val="24"/>
        </w:rPr>
        <w:t>根据生产所需，现决定通过招标方式采购招标编号：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HXQZZB2025030401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静压导轨机加件采购项目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12"/>
      <w:r>
        <w:rPr>
          <w:rFonts w:hint="eastAsia" w:ascii="宋体" w:hAnsi="宋体" w:eastAsia="宋体" w:cs="宋体"/>
          <w:sz w:val="24"/>
          <w:szCs w:val="24"/>
        </w:rPr>
        <w:t>我们将通过招标方式，最后确定</w:t>
      </w:r>
      <w:r>
        <w:rPr>
          <w:rFonts w:hint="eastAsia" w:ascii="宋体" w:hAnsi="宋体" w:eastAsia="宋体" w:cs="宋体"/>
          <w:sz w:val="24"/>
          <w:szCs w:val="24"/>
          <w:lang w:val="en-US" w:eastAsia="zh-CN"/>
        </w:rPr>
        <w:t>2025年如下静压导轨机加件全年合作供应商及价格体系</w:t>
      </w:r>
      <w:r>
        <w:rPr>
          <w:rFonts w:hint="eastAsia" w:ascii="宋体" w:hAnsi="宋体" w:eastAsia="宋体" w:cs="宋体"/>
          <w:sz w:val="24"/>
          <w:szCs w:val="24"/>
        </w:rPr>
        <w:t>。</w:t>
      </w:r>
    </w:p>
    <w:p w14:paraId="40E77AEF">
      <w:pPr>
        <w:pStyle w:val="29"/>
        <w:numPr>
          <w:ilvl w:val="0"/>
          <w:numId w:val="1"/>
        </w:numPr>
        <w:kinsoku/>
        <w:spacing w:line="360" w:lineRule="auto"/>
        <w:ind w:left="0" w:firstLine="480"/>
        <w:outlineLvl w:val="0"/>
        <w:rPr>
          <w:rFonts w:hint="eastAsia" w:ascii="宋体" w:hAnsi="宋体" w:eastAsia="宋体" w:cs="宋体"/>
          <w:sz w:val="24"/>
          <w:szCs w:val="24"/>
        </w:rPr>
      </w:pPr>
      <w:bookmarkStart w:id="13" w:name="_Toc3942"/>
      <w:bookmarkStart w:id="14" w:name="_Toc3520"/>
      <w:bookmarkStart w:id="15" w:name="_Toc30218"/>
      <w:bookmarkStart w:id="16" w:name="_Toc13304"/>
      <w:bookmarkStart w:id="17" w:name="_Toc23627"/>
      <w:bookmarkStart w:id="18" w:name="_Toc30525"/>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3"/>
        <w:tblW w:w="114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3543"/>
        <w:gridCol w:w="1924"/>
        <w:gridCol w:w="1337"/>
        <w:gridCol w:w="1337"/>
        <w:gridCol w:w="1337"/>
        <w:gridCol w:w="1048"/>
      </w:tblGrid>
      <w:tr w14:paraId="3A4B4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969" w:type="dxa"/>
            <w:vAlign w:val="center"/>
          </w:tcPr>
          <w:p w14:paraId="2B112C50">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543" w:type="dxa"/>
            <w:vAlign w:val="center"/>
          </w:tcPr>
          <w:p w14:paraId="01EED7E6">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924" w:type="dxa"/>
            <w:vAlign w:val="center"/>
          </w:tcPr>
          <w:p w14:paraId="6C25003A">
            <w:pPr>
              <w:spacing w:line="24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型号</w:t>
            </w:r>
          </w:p>
        </w:tc>
        <w:tc>
          <w:tcPr>
            <w:tcW w:w="1337" w:type="dxa"/>
            <w:vAlign w:val="center"/>
          </w:tcPr>
          <w:p w14:paraId="71EF6286">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材料</w:t>
            </w:r>
          </w:p>
        </w:tc>
        <w:tc>
          <w:tcPr>
            <w:tcW w:w="1337" w:type="dxa"/>
            <w:vAlign w:val="center"/>
          </w:tcPr>
          <w:p w14:paraId="70B2994A">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337" w:type="dxa"/>
            <w:vAlign w:val="center"/>
          </w:tcPr>
          <w:p w14:paraId="49D8259B">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48" w:type="dxa"/>
            <w:vAlign w:val="center"/>
          </w:tcPr>
          <w:p w14:paraId="2C7A49DA">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技术</w:t>
            </w:r>
            <w:r>
              <w:rPr>
                <w:rFonts w:hint="eastAsia" w:ascii="宋体" w:hAnsi="宋体" w:eastAsia="宋体" w:cs="宋体"/>
                <w:sz w:val="24"/>
                <w:szCs w:val="24"/>
              </w:rPr>
              <w:t>及其他要求</w:t>
            </w:r>
          </w:p>
        </w:tc>
      </w:tr>
      <w:tr w14:paraId="6367F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969" w:type="dxa"/>
            <w:vAlign w:val="center"/>
          </w:tcPr>
          <w:p w14:paraId="609DC40C">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543" w:type="dxa"/>
            <w:vAlign w:val="center"/>
          </w:tcPr>
          <w:p w14:paraId="1C89F718">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基座</w:t>
            </w:r>
          </w:p>
        </w:tc>
        <w:tc>
          <w:tcPr>
            <w:tcW w:w="1924" w:type="dxa"/>
            <w:vAlign w:val="center"/>
          </w:tcPr>
          <w:p w14:paraId="5EACFF8B">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GUP-SDM60-01-01</w:t>
            </w:r>
          </w:p>
        </w:tc>
        <w:tc>
          <w:tcPr>
            <w:tcW w:w="1337" w:type="dxa"/>
            <w:vAlign w:val="center"/>
          </w:tcPr>
          <w:p w14:paraId="5F792D0F">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restart"/>
            <w:vAlign w:val="center"/>
          </w:tcPr>
          <w:p w14:paraId="1A64D803">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以实际确认订单为准（预计为100套）</w:t>
            </w:r>
          </w:p>
        </w:tc>
        <w:tc>
          <w:tcPr>
            <w:tcW w:w="1337" w:type="dxa"/>
            <w:vMerge w:val="restart"/>
            <w:vAlign w:val="center"/>
          </w:tcPr>
          <w:p w14:paraId="6378ACF4">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下单30天</w:t>
            </w:r>
          </w:p>
        </w:tc>
        <w:tc>
          <w:tcPr>
            <w:tcW w:w="1048" w:type="dxa"/>
            <w:vMerge w:val="restart"/>
            <w:tcBorders>
              <w:bottom w:val="nil"/>
            </w:tcBorders>
            <w:vAlign w:val="center"/>
          </w:tcPr>
          <w:p w14:paraId="71FE0BD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w:t>
            </w:r>
            <w:r>
              <w:rPr>
                <w:rFonts w:hint="eastAsia" w:asciiTheme="minorEastAsia" w:hAnsiTheme="minorEastAsia" w:eastAsiaTheme="minorEastAsia" w:cstheme="minorEastAsia"/>
                <w:sz w:val="24"/>
                <w:szCs w:val="24"/>
                <w:lang w:val="en-US" w:eastAsia="zh-CN"/>
              </w:rPr>
              <w:t>图纸（需要签订保密协议详情请看五）</w:t>
            </w:r>
          </w:p>
        </w:tc>
      </w:tr>
      <w:tr w14:paraId="52A5C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AA0FDBA">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543" w:type="dxa"/>
            <w:vAlign w:val="center"/>
          </w:tcPr>
          <w:p w14:paraId="7EDBF02A">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侧导轨</w:t>
            </w:r>
          </w:p>
        </w:tc>
        <w:tc>
          <w:tcPr>
            <w:tcW w:w="1924" w:type="dxa"/>
            <w:vAlign w:val="center"/>
          </w:tcPr>
          <w:p w14:paraId="40E689F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GUP-SDM60-01-02</w:t>
            </w:r>
          </w:p>
        </w:tc>
        <w:tc>
          <w:tcPr>
            <w:tcW w:w="1337" w:type="dxa"/>
            <w:vAlign w:val="center"/>
          </w:tcPr>
          <w:p w14:paraId="6045691A">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continue"/>
            <w:vAlign w:val="center"/>
          </w:tcPr>
          <w:p w14:paraId="621B5745">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36B07A9D">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63DF1F73">
            <w:pPr>
              <w:spacing w:line="360" w:lineRule="auto"/>
              <w:jc w:val="center"/>
              <w:rPr>
                <w:rFonts w:hint="eastAsia" w:asciiTheme="minorEastAsia" w:hAnsiTheme="minorEastAsia" w:eastAsiaTheme="minorEastAsia" w:cstheme="minorEastAsia"/>
                <w:sz w:val="24"/>
                <w:szCs w:val="24"/>
              </w:rPr>
            </w:pPr>
          </w:p>
        </w:tc>
      </w:tr>
      <w:tr w14:paraId="35EB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7F511D9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43" w:type="dxa"/>
            <w:vAlign w:val="center"/>
          </w:tcPr>
          <w:p w14:paraId="31AEE466">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溜板</w:t>
            </w:r>
          </w:p>
        </w:tc>
        <w:tc>
          <w:tcPr>
            <w:tcW w:w="1924" w:type="dxa"/>
            <w:vAlign w:val="center"/>
          </w:tcPr>
          <w:p w14:paraId="2F88452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GUP-SDM60-01-03A</w:t>
            </w:r>
          </w:p>
        </w:tc>
        <w:tc>
          <w:tcPr>
            <w:tcW w:w="1337" w:type="dxa"/>
            <w:vAlign w:val="center"/>
          </w:tcPr>
          <w:p w14:paraId="1ECAD825">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38CrMoAl</w:t>
            </w:r>
          </w:p>
        </w:tc>
        <w:tc>
          <w:tcPr>
            <w:tcW w:w="1337" w:type="dxa"/>
            <w:vMerge w:val="continue"/>
            <w:vAlign w:val="center"/>
          </w:tcPr>
          <w:p w14:paraId="269BF06C">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3FB94142">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1312DABE">
            <w:pPr>
              <w:spacing w:line="360" w:lineRule="auto"/>
              <w:jc w:val="center"/>
              <w:rPr>
                <w:rFonts w:hint="eastAsia" w:asciiTheme="minorEastAsia" w:hAnsiTheme="minorEastAsia" w:eastAsiaTheme="minorEastAsia" w:cstheme="minorEastAsia"/>
                <w:sz w:val="24"/>
                <w:szCs w:val="24"/>
              </w:rPr>
            </w:pPr>
          </w:p>
        </w:tc>
      </w:tr>
      <w:tr w14:paraId="24AB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1109AFD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43" w:type="dxa"/>
            <w:vAlign w:val="center"/>
          </w:tcPr>
          <w:p w14:paraId="2C5FC82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主滑块</w:t>
            </w:r>
          </w:p>
        </w:tc>
        <w:tc>
          <w:tcPr>
            <w:tcW w:w="1924" w:type="dxa"/>
            <w:vAlign w:val="center"/>
          </w:tcPr>
          <w:p w14:paraId="5C6BD5FB">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GUP-SDM60-01-04A</w:t>
            </w:r>
          </w:p>
        </w:tc>
        <w:tc>
          <w:tcPr>
            <w:tcW w:w="1337" w:type="dxa"/>
            <w:vAlign w:val="center"/>
          </w:tcPr>
          <w:p w14:paraId="3C409153">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continue"/>
            <w:vAlign w:val="center"/>
          </w:tcPr>
          <w:p w14:paraId="4EFF67F8">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3B35501B">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634669FE">
            <w:pPr>
              <w:spacing w:line="360" w:lineRule="auto"/>
              <w:jc w:val="center"/>
              <w:rPr>
                <w:rFonts w:hint="eastAsia" w:asciiTheme="minorEastAsia" w:hAnsiTheme="minorEastAsia" w:eastAsiaTheme="minorEastAsia" w:cstheme="minorEastAsia"/>
                <w:sz w:val="24"/>
                <w:szCs w:val="24"/>
              </w:rPr>
            </w:pPr>
          </w:p>
        </w:tc>
      </w:tr>
      <w:tr w14:paraId="0842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4E78DB57">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543" w:type="dxa"/>
            <w:vAlign w:val="center"/>
          </w:tcPr>
          <w:p w14:paraId="57C259E5">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光栅尺固定板</w:t>
            </w:r>
          </w:p>
        </w:tc>
        <w:tc>
          <w:tcPr>
            <w:tcW w:w="1924" w:type="dxa"/>
            <w:vAlign w:val="center"/>
          </w:tcPr>
          <w:p w14:paraId="7DA72021">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GUP-SDM60-01-05A</w:t>
            </w:r>
          </w:p>
        </w:tc>
        <w:tc>
          <w:tcPr>
            <w:tcW w:w="1337" w:type="dxa"/>
            <w:vAlign w:val="center"/>
          </w:tcPr>
          <w:p w14:paraId="65E6BF1E">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continue"/>
            <w:vAlign w:val="center"/>
          </w:tcPr>
          <w:p w14:paraId="2CDA2C9A">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165D16FD">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01EE6075">
            <w:pPr>
              <w:spacing w:line="360" w:lineRule="auto"/>
              <w:jc w:val="center"/>
              <w:rPr>
                <w:rFonts w:hint="eastAsia" w:asciiTheme="minorEastAsia" w:hAnsiTheme="minorEastAsia" w:eastAsiaTheme="minorEastAsia" w:cstheme="minorEastAsia"/>
                <w:sz w:val="24"/>
                <w:szCs w:val="24"/>
              </w:rPr>
            </w:pPr>
          </w:p>
        </w:tc>
      </w:tr>
      <w:tr w14:paraId="6158B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5B8870C">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543" w:type="dxa"/>
            <w:vAlign w:val="center"/>
          </w:tcPr>
          <w:p w14:paraId="4A5AC7FC">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读数头固定板</w:t>
            </w:r>
          </w:p>
        </w:tc>
        <w:tc>
          <w:tcPr>
            <w:tcW w:w="1924" w:type="dxa"/>
            <w:vAlign w:val="center"/>
          </w:tcPr>
          <w:p w14:paraId="4C3857B5">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GUP-SDM60-01-06</w:t>
            </w:r>
          </w:p>
        </w:tc>
        <w:tc>
          <w:tcPr>
            <w:tcW w:w="1337" w:type="dxa"/>
            <w:vAlign w:val="center"/>
          </w:tcPr>
          <w:p w14:paraId="7D7A9EF8">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continue"/>
            <w:vAlign w:val="center"/>
          </w:tcPr>
          <w:p w14:paraId="56D88EB2">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32DCB450">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559BE76D">
            <w:pPr>
              <w:spacing w:line="360" w:lineRule="auto"/>
              <w:jc w:val="center"/>
              <w:rPr>
                <w:rFonts w:hint="eastAsia" w:asciiTheme="minorEastAsia" w:hAnsiTheme="minorEastAsia" w:eastAsiaTheme="minorEastAsia" w:cstheme="minorEastAsia"/>
                <w:sz w:val="24"/>
                <w:szCs w:val="24"/>
              </w:rPr>
            </w:pPr>
          </w:p>
        </w:tc>
      </w:tr>
      <w:tr w14:paraId="000DC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jc w:val="center"/>
        </w:trPr>
        <w:tc>
          <w:tcPr>
            <w:tcW w:w="969" w:type="dxa"/>
            <w:vAlign w:val="center"/>
          </w:tcPr>
          <w:p w14:paraId="57587FE0">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543" w:type="dxa"/>
            <w:vAlign w:val="center"/>
          </w:tcPr>
          <w:p w14:paraId="4899130B">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刹车固定板</w:t>
            </w:r>
          </w:p>
        </w:tc>
        <w:tc>
          <w:tcPr>
            <w:tcW w:w="1924" w:type="dxa"/>
            <w:vAlign w:val="center"/>
          </w:tcPr>
          <w:p w14:paraId="41A65911">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GUP-SDM60-01-07</w:t>
            </w:r>
          </w:p>
        </w:tc>
        <w:tc>
          <w:tcPr>
            <w:tcW w:w="1337" w:type="dxa"/>
            <w:vAlign w:val="center"/>
          </w:tcPr>
          <w:p w14:paraId="23C6675C">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38CrMoAl</w:t>
            </w:r>
          </w:p>
        </w:tc>
        <w:tc>
          <w:tcPr>
            <w:tcW w:w="1337" w:type="dxa"/>
            <w:vMerge w:val="continue"/>
            <w:vAlign w:val="center"/>
          </w:tcPr>
          <w:p w14:paraId="118BF19E">
            <w:pPr>
              <w:spacing w:line="360" w:lineRule="auto"/>
              <w:jc w:val="center"/>
              <w:rPr>
                <w:rFonts w:hint="eastAsia" w:asciiTheme="minorEastAsia" w:hAnsiTheme="minorEastAsia" w:eastAsiaTheme="minorEastAsia" w:cstheme="minorEastAsia"/>
                <w:sz w:val="24"/>
                <w:szCs w:val="24"/>
                <w:lang w:val="en-US" w:eastAsia="zh-CN"/>
              </w:rPr>
            </w:pPr>
          </w:p>
        </w:tc>
        <w:tc>
          <w:tcPr>
            <w:tcW w:w="1337" w:type="dxa"/>
            <w:vMerge w:val="continue"/>
            <w:vAlign w:val="center"/>
          </w:tcPr>
          <w:p w14:paraId="7D62F9EC">
            <w:pPr>
              <w:spacing w:line="360" w:lineRule="auto"/>
              <w:jc w:val="center"/>
              <w:rPr>
                <w:rFonts w:hint="eastAsia" w:asciiTheme="minorEastAsia" w:hAnsiTheme="minorEastAsia" w:eastAsiaTheme="minorEastAsia" w:cstheme="minorEastAsia"/>
                <w:sz w:val="24"/>
                <w:szCs w:val="24"/>
                <w:lang w:val="en-US" w:eastAsia="zh-CN"/>
              </w:rPr>
            </w:pPr>
          </w:p>
        </w:tc>
        <w:tc>
          <w:tcPr>
            <w:tcW w:w="1048" w:type="dxa"/>
            <w:vMerge w:val="continue"/>
            <w:tcBorders>
              <w:top w:val="nil"/>
              <w:bottom w:val="nil"/>
            </w:tcBorders>
            <w:vAlign w:val="center"/>
          </w:tcPr>
          <w:p w14:paraId="10CA2876">
            <w:pPr>
              <w:spacing w:line="360" w:lineRule="auto"/>
              <w:jc w:val="center"/>
              <w:rPr>
                <w:rFonts w:hint="eastAsia" w:asciiTheme="minorEastAsia" w:hAnsiTheme="minorEastAsia" w:eastAsiaTheme="minorEastAsia" w:cstheme="minorEastAsia"/>
                <w:sz w:val="24"/>
                <w:szCs w:val="24"/>
              </w:rPr>
            </w:pPr>
          </w:p>
        </w:tc>
      </w:tr>
      <w:tr w14:paraId="05F5B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969" w:type="dxa"/>
            <w:vAlign w:val="center"/>
          </w:tcPr>
          <w:p w14:paraId="2E5E1C1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543" w:type="dxa"/>
            <w:vAlign w:val="center"/>
          </w:tcPr>
          <w:p w14:paraId="7CAB936A">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防撞块</w:t>
            </w:r>
          </w:p>
        </w:tc>
        <w:tc>
          <w:tcPr>
            <w:tcW w:w="1924" w:type="dxa"/>
            <w:vAlign w:val="center"/>
          </w:tcPr>
          <w:p w14:paraId="3C6D2329">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GUP-SDM60-01-08</w:t>
            </w:r>
          </w:p>
        </w:tc>
        <w:tc>
          <w:tcPr>
            <w:tcW w:w="1337" w:type="dxa"/>
            <w:vAlign w:val="center"/>
          </w:tcPr>
          <w:p w14:paraId="460CB80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45#（电镀）</w:t>
            </w:r>
          </w:p>
        </w:tc>
        <w:tc>
          <w:tcPr>
            <w:tcW w:w="1337" w:type="dxa"/>
            <w:vMerge w:val="continue"/>
            <w:vAlign w:val="center"/>
          </w:tcPr>
          <w:p w14:paraId="55AE3BB3">
            <w:pPr>
              <w:spacing w:line="360" w:lineRule="auto"/>
              <w:jc w:val="center"/>
              <w:rPr>
                <w:rFonts w:hint="eastAsia" w:asciiTheme="minorEastAsia" w:hAnsiTheme="minorEastAsia" w:eastAsiaTheme="minorEastAsia" w:cstheme="minorEastAsia"/>
                <w:sz w:val="24"/>
                <w:szCs w:val="24"/>
              </w:rPr>
            </w:pPr>
          </w:p>
        </w:tc>
        <w:tc>
          <w:tcPr>
            <w:tcW w:w="1337" w:type="dxa"/>
            <w:vMerge w:val="continue"/>
            <w:vAlign w:val="center"/>
          </w:tcPr>
          <w:p w14:paraId="341103D0">
            <w:pPr>
              <w:spacing w:line="360" w:lineRule="auto"/>
              <w:jc w:val="center"/>
              <w:rPr>
                <w:rFonts w:hint="eastAsia" w:asciiTheme="minorEastAsia" w:hAnsiTheme="minorEastAsia" w:eastAsiaTheme="minorEastAsia" w:cstheme="minorEastAsia"/>
                <w:sz w:val="24"/>
                <w:szCs w:val="24"/>
              </w:rPr>
            </w:pPr>
          </w:p>
        </w:tc>
        <w:tc>
          <w:tcPr>
            <w:tcW w:w="1048" w:type="dxa"/>
            <w:vMerge w:val="continue"/>
            <w:tcBorders>
              <w:top w:val="nil"/>
              <w:bottom w:val="nil"/>
            </w:tcBorders>
            <w:vAlign w:val="center"/>
          </w:tcPr>
          <w:p w14:paraId="43162452">
            <w:pPr>
              <w:spacing w:line="360" w:lineRule="auto"/>
              <w:jc w:val="center"/>
              <w:rPr>
                <w:rFonts w:hint="eastAsia" w:asciiTheme="minorEastAsia" w:hAnsiTheme="minorEastAsia" w:eastAsiaTheme="minorEastAsia" w:cstheme="minorEastAsia"/>
                <w:sz w:val="24"/>
                <w:szCs w:val="24"/>
              </w:rPr>
            </w:pPr>
          </w:p>
        </w:tc>
      </w:tr>
      <w:tr w14:paraId="6E8B0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969" w:type="dxa"/>
            <w:vAlign w:val="bottom"/>
          </w:tcPr>
          <w:p w14:paraId="652878DF">
            <w:pPr>
              <w:spacing w:line="360" w:lineRule="auto"/>
              <w:jc w:val="both"/>
              <w:rPr>
                <w:rFonts w:hint="eastAsia" w:asciiTheme="minorEastAsia" w:hAnsiTheme="minorEastAsia" w:eastAsiaTheme="minorEastAsia" w:cstheme="minorEastAsia"/>
                <w:sz w:val="24"/>
                <w:szCs w:val="24"/>
                <w:lang w:val="en-US" w:eastAsia="zh-CN"/>
              </w:rPr>
            </w:pPr>
          </w:p>
        </w:tc>
        <w:tc>
          <w:tcPr>
            <w:tcW w:w="10526" w:type="dxa"/>
            <w:gridSpan w:val="6"/>
            <w:vAlign w:val="bottom"/>
          </w:tcPr>
          <w:p w14:paraId="09AACF1A">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注：以实际生产需要，按需下单</w:t>
            </w:r>
          </w:p>
        </w:tc>
      </w:tr>
    </w:tbl>
    <w:p w14:paraId="54E1654C">
      <w:pPr>
        <w:spacing w:before="120" w:beforeLines="50" w:line="360" w:lineRule="auto"/>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何明伦</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17630950759</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9"/>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w:t>
      </w:r>
      <w:r>
        <w:rPr>
          <w:rFonts w:hint="eastAsia" w:ascii="宋体" w:hAnsi="宋体" w:eastAsia="宋体" w:cs="宋体"/>
          <w:color w:val="auto"/>
          <w:sz w:val="24"/>
          <w:szCs w:val="24"/>
          <w:lang w:eastAsia="zh-CN"/>
        </w:rPr>
        <w:t>中机（泉州）精密装备有限公司</w:t>
      </w:r>
      <w:r>
        <w:rPr>
          <w:rFonts w:hint="eastAsia" w:ascii="宋体" w:hAnsi="宋体" w:eastAsia="宋体" w:cs="宋体"/>
          <w:color w:val="auto"/>
          <w:sz w:val="24"/>
          <w:szCs w:val="24"/>
        </w:rPr>
        <w:t>指定地点。</w:t>
      </w:r>
    </w:p>
    <w:p w14:paraId="184E7178">
      <w:pPr>
        <w:pStyle w:val="29"/>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w:t>
      </w:r>
      <w:bookmarkEnd w:id="19"/>
    </w:p>
    <w:p w14:paraId="298CC50F">
      <w:pPr>
        <w:pStyle w:val="29"/>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9"/>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bookmarkStart w:id="167" w:name="_GoBack"/>
      <w:bookmarkEnd w:id="167"/>
    </w:p>
    <w:p w14:paraId="5A17A8CE">
      <w:pPr>
        <w:pStyle w:val="29"/>
        <w:numPr>
          <w:ilvl w:val="0"/>
          <w:numId w:val="1"/>
        </w:numPr>
        <w:kinsoku/>
        <w:spacing w:line="360" w:lineRule="auto"/>
        <w:ind w:left="0" w:firstLine="480"/>
        <w:outlineLvl w:val="0"/>
        <w:rPr>
          <w:rFonts w:hint="eastAsia" w:ascii="宋体" w:hAnsi="宋体" w:eastAsia="宋体" w:cs="宋体"/>
          <w:sz w:val="24"/>
          <w:szCs w:val="24"/>
        </w:rPr>
      </w:pPr>
      <w:bookmarkStart w:id="20" w:name="_Toc7018"/>
      <w:bookmarkStart w:id="21" w:name="_Toc9339"/>
      <w:bookmarkStart w:id="22" w:name="_Toc654"/>
      <w:bookmarkStart w:id="23" w:name="_Toc27635"/>
      <w:bookmarkStart w:id="24" w:name="_Toc30159"/>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144B49F1">
      <w:pPr>
        <w:pStyle w:val="16"/>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16"/>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7313F267">
      <w:pPr>
        <w:pStyle w:val="16"/>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7）货到、票到检验合格后10天付款，付银承。</w:t>
      </w:r>
    </w:p>
    <w:p w14:paraId="4DBBE31A">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9"/>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9"/>
        <w:numPr>
          <w:ilvl w:val="0"/>
          <w:numId w:val="1"/>
        </w:numPr>
        <w:kinsoku/>
        <w:spacing w:line="360" w:lineRule="auto"/>
        <w:ind w:left="0" w:firstLine="480"/>
        <w:outlineLvl w:val="0"/>
        <w:rPr>
          <w:rFonts w:hint="eastAsia" w:ascii="宋体" w:hAnsi="宋体" w:eastAsia="宋体" w:cs="宋体"/>
          <w:sz w:val="24"/>
          <w:szCs w:val="24"/>
        </w:rPr>
      </w:pPr>
      <w:bookmarkStart w:id="26" w:name="_Toc30078"/>
      <w:bookmarkStart w:id="27" w:name="_Toc4182"/>
      <w:bookmarkStart w:id="28" w:name="_Toc19941"/>
      <w:bookmarkStart w:id="29" w:name="_Toc21790"/>
      <w:bookmarkStart w:id="30" w:name="_Toc21113"/>
      <w:bookmarkStart w:id="31" w:name="_Toc20083"/>
      <w:r>
        <w:rPr>
          <w:rFonts w:hint="eastAsia" w:ascii="宋体" w:hAnsi="宋体" w:eastAsia="宋体" w:cs="宋体"/>
          <w:sz w:val="24"/>
          <w:szCs w:val="24"/>
        </w:rPr>
        <w:t>联系方式</w:t>
      </w:r>
      <w:bookmarkEnd w:id="26"/>
      <w:bookmarkEnd w:id="27"/>
      <w:bookmarkEnd w:id="28"/>
      <w:bookmarkEnd w:id="29"/>
      <w:bookmarkEnd w:id="30"/>
      <w:bookmarkEnd w:id="31"/>
    </w:p>
    <w:p w14:paraId="75B4289B">
      <w:pPr>
        <w:spacing w:before="104" w:line="188" w:lineRule="auto"/>
        <w:ind w:firstLine="480" w:firstLineChars="200"/>
        <w:jc w:val="both"/>
        <w:outlineLvl w:val="0"/>
        <w:rPr>
          <w:rFonts w:hint="eastAsia" w:ascii="宋体" w:hAnsi="宋体" w:eastAsia="宋体" w:cs="宋体"/>
          <w:sz w:val="24"/>
          <w:szCs w:val="24"/>
        </w:rPr>
      </w:pPr>
      <w:r>
        <w:rPr>
          <w:rFonts w:hint="eastAsia" w:ascii="宋体" w:hAnsi="宋体" w:eastAsia="宋体" w:cs="宋体"/>
          <w:sz w:val="24"/>
          <w:szCs w:val="24"/>
        </w:rPr>
        <w:t>招 标 人：</w:t>
      </w:r>
      <w:r>
        <w:rPr>
          <w:rFonts w:hint="eastAsia" w:ascii="宋体" w:hAnsi="宋体" w:eastAsia="宋体" w:cs="宋体"/>
          <w:sz w:val="24"/>
          <w:szCs w:val="24"/>
          <w:lang w:val="en-US" w:eastAsia="zh-CN"/>
        </w:rPr>
        <w:t>中机（泉州）精密装备有限公司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5592FDB4">
      <w:pPr>
        <w:spacing w:before="104" w:line="188" w:lineRule="auto"/>
        <w:ind w:firstLine="480" w:firstLineChars="200"/>
        <w:jc w:val="right"/>
        <w:outlineLvl w:val="0"/>
        <w:rPr>
          <w:rFonts w:hint="eastAsia" w:ascii="宋体" w:hAnsi="宋体" w:eastAsia="宋体" w:cs="宋体"/>
          <w:sz w:val="24"/>
          <w:szCs w:val="24"/>
        </w:rPr>
      </w:pPr>
      <w:r>
        <w:rPr>
          <w:rFonts w:hint="eastAsia" w:ascii="宋体" w:hAnsi="宋体" w:eastAsia="宋体" w:cs="宋体"/>
          <w:sz w:val="24"/>
          <w:szCs w:val="24"/>
          <w:lang w:val="en-US" w:eastAsia="zh-CN"/>
        </w:rPr>
        <w:t>中机（泉州）精密装备有限公司</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2" w:name="_Toc10599"/>
      <w:bookmarkStart w:id="33" w:name="_Toc25726"/>
      <w:bookmarkStart w:id="34"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2"/>
      <w:bookmarkEnd w:id="33"/>
      <w:bookmarkEnd w:id="34"/>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9"/>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9"/>
        <w:numPr>
          <w:ilvl w:val="0"/>
          <w:numId w:val="2"/>
        </w:numPr>
        <w:kinsoku/>
        <w:spacing w:line="360" w:lineRule="auto"/>
        <w:ind w:left="0" w:firstLine="424" w:firstLineChars="177"/>
        <w:outlineLvl w:val="0"/>
        <w:rPr>
          <w:rFonts w:hint="eastAsia" w:ascii="宋体" w:hAnsi="宋体" w:eastAsia="宋体" w:cs="宋体"/>
          <w:sz w:val="24"/>
          <w:szCs w:val="24"/>
        </w:rPr>
      </w:pPr>
      <w:bookmarkStart w:id="35" w:name="_Toc14879"/>
      <w:bookmarkStart w:id="36" w:name="_Toc21532"/>
      <w:bookmarkStart w:id="37" w:name="_Toc9822"/>
      <w:bookmarkStart w:id="38" w:name="_Toc5448"/>
      <w:bookmarkStart w:id="39" w:name="_Toc15722"/>
      <w:bookmarkStart w:id="40" w:name="_Toc24156"/>
      <w:r>
        <w:rPr>
          <w:rFonts w:hint="eastAsia" w:ascii="宋体" w:hAnsi="宋体" w:eastAsia="宋体" w:cs="宋体"/>
          <w:sz w:val="24"/>
          <w:szCs w:val="24"/>
        </w:rPr>
        <w:t>投标资格（包括但不限于）：</w:t>
      </w:r>
      <w:bookmarkEnd w:id="35"/>
      <w:bookmarkEnd w:id="36"/>
      <w:bookmarkEnd w:id="37"/>
      <w:bookmarkEnd w:id="38"/>
      <w:bookmarkEnd w:id="39"/>
      <w:bookmarkEnd w:id="40"/>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1" w:name="_Toc9930"/>
      <w:bookmarkStart w:id="42" w:name="_Toc16770"/>
      <w:bookmarkStart w:id="43" w:name="_Toc12309"/>
      <w:bookmarkStart w:id="44" w:name="_Toc23688"/>
      <w:bookmarkStart w:id="45" w:name="_Toc15847"/>
      <w:r>
        <w:rPr>
          <w:rFonts w:hint="eastAsia" w:ascii="宋体" w:hAnsi="宋体" w:eastAsia="宋体" w:cs="宋体"/>
          <w:b/>
          <w:bCs/>
          <w:sz w:val="24"/>
          <w:szCs w:val="24"/>
        </w:rPr>
        <w:t>二、投标报价</w:t>
      </w:r>
      <w:bookmarkEnd w:id="41"/>
      <w:bookmarkEnd w:id="42"/>
      <w:bookmarkEnd w:id="43"/>
      <w:bookmarkEnd w:id="44"/>
      <w:bookmarkEnd w:id="45"/>
    </w:p>
    <w:p w14:paraId="0DAFC7ED">
      <w:pPr>
        <w:pStyle w:val="29"/>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46" w:name="_Toc4816"/>
    </w:p>
    <w:p w14:paraId="131A3A28">
      <w:pPr>
        <w:pStyle w:val="29"/>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46"/>
    </w:p>
    <w:p w14:paraId="2EDDFA9C">
      <w:pPr>
        <w:pStyle w:val="29"/>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9"/>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9"/>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47" w:name="_Toc24896"/>
      <w:bookmarkStart w:id="48" w:name="_Toc14547"/>
      <w:bookmarkStart w:id="49" w:name="_Toc13329"/>
      <w:bookmarkStart w:id="50" w:name="_Toc2348"/>
      <w:bookmarkStart w:id="51" w:name="_Toc19945"/>
      <w:r>
        <w:rPr>
          <w:rFonts w:hint="eastAsia" w:ascii="宋体" w:hAnsi="宋体" w:eastAsia="宋体" w:cs="宋体"/>
          <w:b/>
          <w:bCs/>
          <w:sz w:val="24"/>
          <w:szCs w:val="24"/>
        </w:rPr>
        <w:t>三、投标文件</w:t>
      </w:r>
      <w:bookmarkEnd w:id="47"/>
      <w:bookmarkEnd w:id="48"/>
      <w:bookmarkEnd w:id="49"/>
      <w:bookmarkEnd w:id="50"/>
      <w:bookmarkEnd w:id="51"/>
    </w:p>
    <w:p w14:paraId="50E0AD51">
      <w:pPr>
        <w:pStyle w:val="29"/>
        <w:numPr>
          <w:ilvl w:val="0"/>
          <w:numId w:val="5"/>
        </w:numPr>
        <w:kinsoku/>
        <w:spacing w:line="360" w:lineRule="auto"/>
        <w:ind w:left="0" w:firstLine="480"/>
        <w:outlineLvl w:val="0"/>
        <w:rPr>
          <w:rFonts w:hint="eastAsia" w:ascii="宋体" w:hAnsi="宋体" w:eastAsia="宋体" w:cs="宋体"/>
          <w:sz w:val="24"/>
          <w:szCs w:val="24"/>
        </w:rPr>
      </w:pPr>
      <w:bookmarkStart w:id="52" w:name="_Toc30156"/>
      <w:bookmarkStart w:id="53" w:name="_Toc29954"/>
      <w:bookmarkStart w:id="54" w:name="_Toc11398"/>
      <w:bookmarkStart w:id="55" w:name="_Toc2231"/>
      <w:bookmarkStart w:id="56" w:name="_Toc30571"/>
      <w:bookmarkStart w:id="57" w:name="_Toc7457"/>
      <w:r>
        <w:rPr>
          <w:rFonts w:hint="eastAsia" w:ascii="宋体" w:hAnsi="宋体" w:eastAsia="宋体" w:cs="宋体"/>
          <w:sz w:val="24"/>
          <w:szCs w:val="24"/>
        </w:rPr>
        <w:t>投标人应填写其单位名称全称。</w:t>
      </w:r>
      <w:bookmarkEnd w:id="52"/>
      <w:bookmarkEnd w:id="53"/>
      <w:bookmarkEnd w:id="54"/>
      <w:bookmarkEnd w:id="55"/>
      <w:bookmarkEnd w:id="56"/>
      <w:bookmarkEnd w:id="57"/>
    </w:p>
    <w:p w14:paraId="6E8472B1">
      <w:pPr>
        <w:pStyle w:val="29"/>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9"/>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9"/>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58" w:name="_Toc8"/>
      <w:bookmarkStart w:id="59" w:name="_Toc14760"/>
      <w:bookmarkStart w:id="60" w:name="_Toc23458"/>
      <w:bookmarkStart w:id="61" w:name="_Toc18677"/>
      <w:bookmarkStart w:id="62" w:name="_Toc29111"/>
      <w:r>
        <w:rPr>
          <w:rFonts w:hint="eastAsia" w:ascii="宋体" w:hAnsi="宋体" w:eastAsia="宋体" w:cs="宋体"/>
          <w:b/>
          <w:bCs/>
          <w:sz w:val="24"/>
          <w:szCs w:val="24"/>
        </w:rPr>
        <w:t>四、开标、评标、定标</w:t>
      </w:r>
      <w:bookmarkEnd w:id="58"/>
      <w:bookmarkEnd w:id="59"/>
      <w:bookmarkEnd w:id="60"/>
      <w:bookmarkEnd w:id="61"/>
      <w:bookmarkEnd w:id="62"/>
    </w:p>
    <w:p w14:paraId="169C957F">
      <w:pPr>
        <w:pStyle w:val="29"/>
        <w:numPr>
          <w:ilvl w:val="0"/>
          <w:numId w:val="6"/>
        </w:numPr>
        <w:kinsoku/>
        <w:spacing w:line="360" w:lineRule="auto"/>
        <w:ind w:left="0" w:firstLine="480"/>
        <w:outlineLvl w:val="0"/>
        <w:rPr>
          <w:rFonts w:hint="eastAsia" w:ascii="宋体" w:hAnsi="宋体" w:eastAsia="宋体" w:cs="宋体"/>
          <w:sz w:val="24"/>
          <w:szCs w:val="24"/>
        </w:rPr>
      </w:pPr>
      <w:bookmarkStart w:id="63" w:name="_Toc29386"/>
      <w:bookmarkStart w:id="64" w:name="_Toc31780"/>
      <w:bookmarkStart w:id="65" w:name="_Toc998"/>
      <w:bookmarkStart w:id="66" w:name="_Toc3331"/>
      <w:bookmarkStart w:id="67" w:name="_Toc5695"/>
      <w:bookmarkStart w:id="68" w:name="_Toc20255"/>
      <w:r>
        <w:rPr>
          <w:rFonts w:hint="eastAsia" w:ascii="宋体" w:hAnsi="宋体" w:eastAsia="宋体" w:cs="宋体"/>
          <w:sz w:val="24"/>
          <w:szCs w:val="24"/>
        </w:rPr>
        <w:t>开标时，将按照招标人有关招投标规定执行。</w:t>
      </w:r>
      <w:bookmarkEnd w:id="63"/>
      <w:bookmarkEnd w:id="64"/>
      <w:bookmarkEnd w:id="65"/>
      <w:bookmarkEnd w:id="66"/>
      <w:bookmarkEnd w:id="67"/>
      <w:bookmarkEnd w:id="68"/>
    </w:p>
    <w:p w14:paraId="5AF9D3F4">
      <w:pPr>
        <w:pStyle w:val="29"/>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9"/>
        <w:numPr>
          <w:ilvl w:val="0"/>
          <w:numId w:val="6"/>
        </w:numPr>
        <w:kinsoku/>
        <w:spacing w:line="360" w:lineRule="auto"/>
        <w:ind w:left="0" w:firstLine="480"/>
        <w:outlineLvl w:val="0"/>
        <w:rPr>
          <w:rFonts w:hint="eastAsia" w:ascii="宋体" w:hAnsi="宋体" w:eastAsia="宋体" w:cs="宋体"/>
          <w:sz w:val="24"/>
          <w:szCs w:val="24"/>
        </w:rPr>
      </w:pPr>
      <w:bookmarkStart w:id="69" w:name="_Toc24129"/>
      <w:bookmarkStart w:id="70" w:name="_Toc12"/>
      <w:bookmarkStart w:id="71" w:name="_Toc18886"/>
      <w:bookmarkStart w:id="72" w:name="_Toc26371"/>
      <w:bookmarkStart w:id="73" w:name="_Toc14086"/>
      <w:bookmarkStart w:id="74" w:name="_Toc6426"/>
      <w:r>
        <w:rPr>
          <w:rFonts w:hint="eastAsia" w:ascii="宋体" w:hAnsi="宋体" w:eastAsia="宋体" w:cs="宋体"/>
          <w:sz w:val="24"/>
          <w:szCs w:val="24"/>
        </w:rPr>
        <w:t>招标人不对未中标的投标人作任何解释，不退还投标文件。</w:t>
      </w:r>
      <w:bookmarkEnd w:id="69"/>
      <w:bookmarkEnd w:id="70"/>
      <w:bookmarkEnd w:id="71"/>
      <w:bookmarkEnd w:id="72"/>
      <w:bookmarkEnd w:id="73"/>
      <w:bookmarkEnd w:id="74"/>
    </w:p>
    <w:p w14:paraId="6DC0DA81">
      <w:pPr>
        <w:kinsoku/>
        <w:spacing w:line="360" w:lineRule="auto"/>
        <w:ind w:firstLine="482" w:firstLineChars="200"/>
        <w:outlineLvl w:val="0"/>
        <w:rPr>
          <w:rFonts w:hint="eastAsia" w:ascii="宋体" w:hAnsi="宋体" w:eastAsia="宋体" w:cs="宋体"/>
          <w:b/>
          <w:bCs/>
          <w:sz w:val="24"/>
          <w:szCs w:val="24"/>
        </w:rPr>
      </w:pPr>
      <w:bookmarkStart w:id="75" w:name="_Toc25649"/>
      <w:bookmarkStart w:id="76" w:name="_Toc2586"/>
      <w:bookmarkStart w:id="77" w:name="_Toc29662"/>
      <w:bookmarkStart w:id="78" w:name="_Toc32748"/>
      <w:bookmarkStart w:id="79" w:name="_Toc6326"/>
      <w:r>
        <w:rPr>
          <w:rFonts w:hint="eastAsia" w:ascii="宋体" w:hAnsi="宋体" w:eastAsia="宋体" w:cs="宋体"/>
          <w:b/>
          <w:bCs/>
          <w:sz w:val="24"/>
          <w:szCs w:val="24"/>
        </w:rPr>
        <w:t>五、纪律要求</w:t>
      </w:r>
      <w:bookmarkEnd w:id="75"/>
      <w:bookmarkEnd w:id="76"/>
      <w:bookmarkEnd w:id="77"/>
      <w:bookmarkEnd w:id="78"/>
      <w:bookmarkEnd w:id="79"/>
    </w:p>
    <w:p w14:paraId="2C8BB739">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9"/>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0" w:name="_Toc7771"/>
      <w:bookmarkStart w:id="81" w:name="_Toc9588"/>
      <w:bookmarkStart w:id="82" w:name="_Toc23438"/>
      <w:bookmarkStart w:id="83" w:name="_Toc3302"/>
      <w:bookmarkStart w:id="84" w:name="_Toc11099"/>
      <w:r>
        <w:rPr>
          <w:rFonts w:hint="eastAsia" w:ascii="宋体" w:hAnsi="宋体" w:eastAsia="宋体" w:cs="宋体"/>
          <w:b/>
          <w:bCs/>
          <w:sz w:val="24"/>
          <w:szCs w:val="24"/>
        </w:rPr>
        <w:t>六、其他</w:t>
      </w:r>
      <w:bookmarkEnd w:id="80"/>
      <w:bookmarkEnd w:id="81"/>
      <w:bookmarkEnd w:id="82"/>
      <w:bookmarkEnd w:id="83"/>
      <w:bookmarkEnd w:id="84"/>
    </w:p>
    <w:p w14:paraId="72D537FA">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9"/>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0E37B15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5" w:name="_Toc14035"/>
      <w:bookmarkStart w:id="86" w:name="_Toc26223"/>
      <w:bookmarkStart w:id="87" w:name="_Toc14207"/>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5"/>
      <w:bookmarkEnd w:id="86"/>
      <w:bookmarkEnd w:id="87"/>
    </w:p>
    <w:p w14:paraId="4E57F729">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其他分（10分）</w:t>
      </w:r>
      <w:r>
        <w:rPr>
          <w:rFonts w:hint="eastAsia" w:ascii="宋体" w:hAnsi="宋体" w:eastAsia="宋体" w:cs="宋体"/>
          <w:color w:val="auto"/>
          <w:sz w:val="24"/>
          <w:highlight w:val="none"/>
        </w:rPr>
        <w:t>，评审标准具体如下：</w:t>
      </w:r>
    </w:p>
    <w:p w14:paraId="245906C6">
      <w:pPr>
        <w:pStyle w:val="25"/>
        <w:rPr>
          <w:rFonts w:hint="eastAsia" w:ascii="宋体" w:hAnsi="宋体" w:eastAsia="宋体" w:cs="宋体"/>
          <w:color w:val="auto"/>
          <w:sz w:val="24"/>
          <w:highlight w:val="none"/>
        </w:rPr>
      </w:pPr>
    </w:p>
    <w:p w14:paraId="4FC56C1C">
      <w:pPr>
        <w:pStyle w:val="25"/>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2FC44100">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8" w:name="_Toc23296"/>
      <w:bookmarkStart w:id="89" w:name="_Toc13537"/>
      <w:bookmarkStart w:id="90" w:name="_Toc14784"/>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88"/>
      <w:bookmarkEnd w:id="89"/>
      <w:bookmarkEnd w:id="90"/>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7"/>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6"/>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关键参数：一项不响应扣1~3分（标“*”号）。</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7"/>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05F03099">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其他</w:t>
      </w:r>
      <w:r>
        <w:rPr>
          <w:rFonts w:hint="eastAsia" w:ascii="宋体" w:hAnsi="宋体" w:eastAsia="宋体" w:cs="宋体"/>
          <w:b/>
          <w:bCs/>
          <w:sz w:val="24"/>
        </w:rPr>
        <w:t>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+其他分</w:t>
      </w:r>
      <w:r>
        <w:rPr>
          <w:rFonts w:hint="eastAsia" w:ascii="宋体" w:hAnsi="宋体" w:eastAsia="宋体" w:cs="宋体"/>
          <w:color w:val="auto"/>
          <w:sz w:val="24"/>
        </w:rPr>
        <w:t>）。</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.评标小组评委依据得分高低顺序依次确定中标候选人，评分以得分最高者作为第一中标候选人</w:t>
      </w:r>
      <w:r>
        <w:rPr>
          <w:rFonts w:hint="eastAsia" w:ascii="宋体" w:hAnsi="宋体" w:eastAsia="宋体" w:cs="宋体"/>
          <w:color w:val="auto"/>
          <w:sz w:val="24"/>
          <w:lang w:val="en-US" w:eastAsia="zh-CN"/>
        </w:rPr>
        <w:t>。</w:t>
      </w:r>
    </w:p>
    <w:p w14:paraId="246AECB3">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1" w:name="_Toc12820"/>
      <w:bookmarkStart w:id="92" w:name="_Toc7216"/>
      <w:bookmarkStart w:id="93" w:name="_Toc20197"/>
      <w:bookmarkStart w:id="94" w:name="_Toc31981"/>
      <w:bookmarkStart w:id="95" w:name="_Toc30455"/>
      <w:bookmarkStart w:id="96"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1"/>
      <w:bookmarkEnd w:id="92"/>
      <w:bookmarkEnd w:id="93"/>
    </w:p>
    <w:p w14:paraId="6652418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 加工标准*</w:t>
      </w:r>
    </w:p>
    <w:p w14:paraId="6846DEA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图纸要求  </w:t>
      </w:r>
    </w:p>
    <w:p w14:paraId="230F454E">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零件图纸版本号：需严格按照招标方提供的 最新版图纸进行加工，图纸修改需书面确认。  </w:t>
      </w:r>
    </w:p>
    <w:p w14:paraId="269059B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尺寸公差：  </w:t>
      </w:r>
    </w:p>
    <w:p w14:paraId="393EC775">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关键尺寸（标注*号）：</w:t>
      </w:r>
      <w:r>
        <w:rPr>
          <w:rFonts w:hint="eastAsia" w:ascii="宋体" w:hAnsi="宋体" w:eastAsia="宋体" w:cs="宋体"/>
          <w:b w:val="0"/>
          <w:bCs w:val="0"/>
          <w:color w:val="auto"/>
          <w:sz w:val="24"/>
          <w:u w:val="single"/>
          <w:lang w:val="en-US" w:eastAsia="zh-CN"/>
        </w:rPr>
        <w:t xml:space="preserve"> ±0.002mm</w:t>
      </w:r>
      <w:r>
        <w:rPr>
          <w:rFonts w:hint="eastAsia" w:ascii="宋体" w:hAnsi="宋体" w:eastAsia="宋体" w:cs="宋体"/>
          <w:b w:val="0"/>
          <w:bCs w:val="0"/>
          <w:color w:val="auto"/>
          <w:sz w:val="24"/>
          <w:lang w:val="en-US" w:eastAsia="zh-CN"/>
        </w:rPr>
        <w:t xml:space="preserve">。  </w:t>
      </w:r>
    </w:p>
    <w:p w14:paraId="137F5185">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一般尺寸：按图纸标注公差执行，未标注公差按 GB/T 1804-2000 m级 执行。  </w:t>
      </w:r>
    </w:p>
    <w:p w14:paraId="3D351B4C">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形位公差：平面度、圆度、同轴度等需符合图纸要求，未标注按 GB/T 1184-1996 K级 执行。  </w:t>
      </w:r>
    </w:p>
    <w:p w14:paraId="7683CF2C">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表面粗糙度：  </w:t>
      </w:r>
    </w:p>
    <w:p w14:paraId="01043CA8">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配合面：</w:t>
      </w:r>
      <w:r>
        <w:rPr>
          <w:rFonts w:hint="eastAsia" w:ascii="宋体" w:hAnsi="宋体" w:eastAsia="宋体" w:cs="宋体"/>
          <w:b w:val="0"/>
          <w:bCs w:val="0"/>
          <w:color w:val="auto"/>
          <w:sz w:val="24"/>
          <w:u w:val="single"/>
          <w:lang w:val="en-US" w:eastAsia="zh-CN"/>
        </w:rPr>
        <w:t xml:space="preserve">   Ra0.4 </w:t>
      </w:r>
      <w:r>
        <w:rPr>
          <w:rFonts w:hint="eastAsia" w:ascii="宋体" w:hAnsi="宋体" w:eastAsia="宋体" w:cs="宋体"/>
          <w:b w:val="0"/>
          <w:bCs w:val="0"/>
          <w:color w:val="auto"/>
          <w:sz w:val="24"/>
          <w:lang w:val="en-US" w:eastAsia="zh-CN"/>
        </w:rPr>
        <w:t xml:space="preserve">。  </w:t>
      </w:r>
    </w:p>
    <w:p w14:paraId="4B03C00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非配合面： </w:t>
      </w:r>
      <w:r>
        <w:rPr>
          <w:rFonts w:hint="eastAsia" w:ascii="宋体" w:hAnsi="宋体" w:eastAsia="宋体" w:cs="宋体"/>
          <w:b w:val="0"/>
          <w:bCs w:val="0"/>
          <w:color w:val="auto"/>
          <w:sz w:val="24"/>
          <w:u w:val="single"/>
          <w:lang w:val="en-US" w:eastAsia="zh-CN"/>
        </w:rPr>
        <w:t xml:space="preserve"> Ra6.3 </w:t>
      </w:r>
      <w:r>
        <w:rPr>
          <w:rFonts w:hint="eastAsia" w:ascii="宋体" w:hAnsi="宋体" w:eastAsia="宋体" w:cs="宋体"/>
          <w:b w:val="0"/>
          <w:bCs w:val="0"/>
          <w:color w:val="auto"/>
          <w:sz w:val="24"/>
          <w:lang w:val="en-US" w:eastAsia="zh-CN"/>
        </w:rPr>
        <w:t xml:space="preserve">。  </w:t>
      </w:r>
    </w:p>
    <w:p w14:paraId="175A20B4">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420C68D6">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材料处理要求  </w:t>
      </w:r>
    </w:p>
    <w:p w14:paraId="63EDDA3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毛坯预处理：材料需经 超声波探伤 检测内部缺陷，并提供检测报告。  </w:t>
      </w:r>
    </w:p>
    <w:p w14:paraId="01664F5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热处理：  </w:t>
      </w:r>
    </w:p>
    <w:p w14:paraId="72E7769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调质处理硬度 ：</w:t>
      </w:r>
      <w:r>
        <w:rPr>
          <w:rFonts w:hint="eastAsia" w:ascii="宋体" w:hAnsi="宋体" w:eastAsia="宋体" w:cs="宋体"/>
          <w:b w:val="0"/>
          <w:bCs w:val="0"/>
          <w:color w:val="auto"/>
          <w:sz w:val="24"/>
          <w:u w:val="single"/>
          <w:lang w:val="en-US" w:eastAsia="zh-CN"/>
        </w:rPr>
        <w:t xml:space="preserve"> HBS255-275</w:t>
      </w:r>
      <w:r>
        <w:rPr>
          <w:rFonts w:hint="eastAsia" w:ascii="宋体" w:hAnsi="宋体" w:eastAsia="宋体" w:cs="宋体"/>
          <w:b w:val="0"/>
          <w:bCs w:val="0"/>
          <w:color w:val="auto"/>
          <w:sz w:val="24"/>
          <w:lang w:val="en-US" w:eastAsia="zh-CN"/>
        </w:rPr>
        <w:t xml:space="preserve">。  </w:t>
      </w:r>
    </w:p>
    <w:p w14:paraId="26D9AE6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表面渗碳处理零件：表面硬度 </w:t>
      </w:r>
      <w:r>
        <w:rPr>
          <w:rFonts w:hint="eastAsia" w:ascii="宋体" w:hAnsi="宋体" w:eastAsia="宋体" w:cs="宋体"/>
          <w:b w:val="0"/>
          <w:bCs w:val="0"/>
          <w:color w:val="auto"/>
          <w:sz w:val="24"/>
          <w:u w:val="single"/>
          <w:lang w:val="en-US" w:eastAsia="zh-CN"/>
        </w:rPr>
        <w:t xml:space="preserve"> 不低于HRC60 </w:t>
      </w:r>
      <w:r>
        <w:rPr>
          <w:rFonts w:hint="eastAsia" w:ascii="宋体" w:hAnsi="宋体" w:eastAsia="宋体" w:cs="宋体"/>
          <w:b w:val="0"/>
          <w:bCs w:val="0"/>
          <w:color w:val="auto"/>
          <w:sz w:val="24"/>
          <w:lang w:val="en-US" w:eastAsia="zh-CN"/>
        </w:rPr>
        <w:t xml:space="preserve">。  </w:t>
      </w:r>
    </w:p>
    <w:p w14:paraId="18BECDA8">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6B8173AC">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w:t>
      </w:r>
    </w:p>
    <w:p w14:paraId="6D6716D6">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4BA67933">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 材料要求</w:t>
      </w:r>
    </w:p>
    <w:p w14:paraId="67D4556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原材料规格  </w:t>
      </w:r>
    </w:p>
    <w:p w14:paraId="1C8EE69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材料牌号：必须使用图纸指定材料（如 **45#钢、304不锈钢、6061铝合金** 等）。  </w:t>
      </w:r>
    </w:p>
    <w:p w14:paraId="1C36211F">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w:t>
      </w:r>
    </w:p>
    <w:p w14:paraId="6F0A1BE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替代材料：如需替换材料，需提前书面申请并提供 力学性能对比报告。  </w:t>
      </w:r>
    </w:p>
    <w:p w14:paraId="73B746D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1C8B1FC3">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禁止使用材料  </w:t>
      </w:r>
    </w:p>
    <w:p w14:paraId="3709B8B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再生料、翻新料或非标材料。  </w:t>
      </w:r>
    </w:p>
    <w:p w14:paraId="6F8023F5">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4B28D5DD">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w:t>
      </w:r>
    </w:p>
    <w:p w14:paraId="5D37BE6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71C0DF7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val="en-US" w:eastAsia="zh-CN"/>
        </w:rPr>
        <w:t>3. 工艺要求</w:t>
      </w:r>
    </w:p>
    <w:p w14:paraId="23EF35AD">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加工工艺流程 （示例如下） </w:t>
      </w:r>
    </w:p>
    <w:p w14:paraId="3B530C9B">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工序 | 设备要求 | 工艺参数 | 检验节点 |  </w:t>
      </w:r>
    </w:p>
    <w:p w14:paraId="1BAA919F">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w:t>
      </w:r>
    </w:p>
    <w:p w14:paraId="54E74F96">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粗加工 | CNC车床（精度±0.02mm） | 切削速度≤200m/min，进给量0.2mm/r | 每批次首件检验 |  </w:t>
      </w:r>
    </w:p>
    <w:p w14:paraId="36839C42">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精加工 | 五轴加工中心（重复定位精度±0.005mm） | 切削速度≤100m/min，进给量0.05mm/r | 全检关键尺寸 |  </w:t>
      </w:r>
    </w:p>
    <w:p w14:paraId="3D715B94">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热处理 | 真空淬火炉 | 温度控制±5℃，保温时间≥2h | 随炉试样硬度检测 |  </w:t>
      </w:r>
    </w:p>
    <w:p w14:paraId="7653BF0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表面处理 | 电镀/喷涂（按图纸要求） | 镀层厚度≥10μm，附着力测试合格 | 盐雾试验报告 |  </w:t>
      </w:r>
    </w:p>
    <w:p w14:paraId="3B3F962B">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7F0AB25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特殊工艺要求 </w:t>
      </w:r>
    </w:p>
    <w:p w14:paraId="3F7AA8E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去毛刺：</w:t>
      </w:r>
      <w:r>
        <w:rPr>
          <w:rFonts w:hint="eastAsia" w:ascii="宋体" w:hAnsi="宋体" w:eastAsia="宋体" w:cs="宋体"/>
          <w:b w:val="0"/>
          <w:bCs w:val="0"/>
          <w:color w:val="auto"/>
          <w:sz w:val="24"/>
          <w:u w:val="single"/>
          <w:lang w:val="en-US" w:eastAsia="zh-CN"/>
        </w:rPr>
        <w:t xml:space="preserve">  锐角倒钝 </w:t>
      </w:r>
      <w:r>
        <w:rPr>
          <w:rFonts w:hint="eastAsia" w:ascii="宋体" w:hAnsi="宋体" w:eastAsia="宋体" w:cs="宋体"/>
          <w:b w:val="0"/>
          <w:bCs w:val="0"/>
          <w:color w:val="auto"/>
          <w:sz w:val="24"/>
          <w:lang w:val="en-US" w:eastAsia="zh-CN"/>
        </w:rPr>
        <w:t xml:space="preserve">。  </w:t>
      </w:r>
    </w:p>
    <w:p w14:paraId="244EF182">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防锈处理：</w:t>
      </w:r>
      <w:r>
        <w:rPr>
          <w:rFonts w:hint="eastAsia" w:ascii="宋体" w:hAnsi="宋体" w:eastAsia="宋体" w:cs="宋体"/>
          <w:b/>
          <w:bCs/>
          <w:color w:val="auto"/>
          <w:sz w:val="24"/>
          <w:lang w:val="en-US" w:eastAsia="zh-CN"/>
        </w:rPr>
        <w:t xml:space="preserve">  </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val="0"/>
          <w:bCs w:val="0"/>
          <w:color w:val="auto"/>
          <w:sz w:val="24"/>
          <w:u w:val="single"/>
          <w:lang w:val="en-US" w:eastAsia="zh-CN"/>
        </w:rPr>
        <w:t>表面镀镍</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val="0"/>
          <w:bCs w:val="0"/>
          <w:color w:val="auto"/>
          <w:sz w:val="24"/>
          <w:lang w:val="en-US" w:eastAsia="zh-CN"/>
        </w:rPr>
        <w:t xml:space="preserve">。  </w:t>
      </w:r>
    </w:p>
    <w:p w14:paraId="2DF989F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清洁度： </w:t>
      </w:r>
      <w:r>
        <w:rPr>
          <w:rFonts w:hint="eastAsia" w:ascii="宋体" w:hAnsi="宋体" w:eastAsia="宋体" w:cs="宋体"/>
          <w:b w:val="0"/>
          <w:bCs w:val="0"/>
          <w:color w:val="auto"/>
          <w:sz w:val="24"/>
          <w:u w:val="single"/>
          <w:lang w:val="en-US" w:eastAsia="zh-CN"/>
        </w:rPr>
        <w:t xml:space="preserve"> 表面不得有油污及肉眼可见的切屑、金属毛刺、铁屑等颗粒状杂质残留 </w:t>
      </w:r>
      <w:r>
        <w:rPr>
          <w:rFonts w:hint="eastAsia" w:ascii="宋体" w:hAnsi="宋体" w:eastAsia="宋体" w:cs="宋体"/>
          <w:b w:val="0"/>
          <w:bCs w:val="0"/>
          <w:color w:val="auto"/>
          <w:sz w:val="24"/>
          <w:lang w:val="en-US" w:eastAsia="zh-CN"/>
        </w:rPr>
        <w:t xml:space="preserve">。  </w:t>
      </w:r>
    </w:p>
    <w:p w14:paraId="3924C66A">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5AEE48BE">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w:t>
      </w:r>
    </w:p>
    <w:p w14:paraId="3CF1354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02FC28FE">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 质量验收</w:t>
      </w:r>
    </w:p>
    <w:p w14:paraId="44B0216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检测方法与工具  </w:t>
      </w:r>
    </w:p>
    <w:p w14:paraId="5779D604">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尺寸检测：使用 三坐标测量机（CMM），精度等级</w:t>
      </w:r>
      <w:r>
        <w:rPr>
          <w:rFonts w:hint="eastAsia" w:ascii="宋体" w:hAnsi="宋体" w:eastAsia="宋体" w:cs="宋体"/>
          <w:b w:val="0"/>
          <w:bCs w:val="0"/>
          <w:color w:val="auto"/>
          <w:sz w:val="24"/>
          <w:u w:val="single"/>
          <w:lang w:val="en-US" w:eastAsia="zh-CN"/>
        </w:rPr>
        <w:t xml:space="preserve"> 小于0.0005mm </w:t>
      </w:r>
      <w:r>
        <w:rPr>
          <w:rFonts w:hint="eastAsia" w:ascii="宋体" w:hAnsi="宋体" w:eastAsia="宋体" w:cs="宋体"/>
          <w:b w:val="0"/>
          <w:bCs w:val="0"/>
          <w:color w:val="auto"/>
          <w:sz w:val="24"/>
          <w:lang w:val="en-US" w:eastAsia="zh-CN"/>
        </w:rPr>
        <w:t xml:space="preserve">。  </w:t>
      </w:r>
    </w:p>
    <w:p w14:paraId="20A333F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硬度检测：洛氏硬度计（HRC）或维氏硬度计（HV）。  </w:t>
      </w:r>
    </w:p>
    <w:p w14:paraId="1C85AAEC">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表面粗糙度：便携式粗糙度仪（测量点数≥3点/面）。  </w:t>
      </w:r>
    </w:p>
    <w:p w14:paraId="60B7965C">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22E5ECD5">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验收标准  </w:t>
      </w:r>
    </w:p>
    <w:p w14:paraId="0C9C62AA">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AQL抽样方案：按 GB/T 2828.1-2012，一般检验水平Ⅱ，AQL=1.0。  </w:t>
      </w:r>
    </w:p>
    <w:p w14:paraId="01156A5A">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关键尺寸不合格率＞1%时，整批退货。  </w:t>
      </w:r>
    </w:p>
    <w:p w14:paraId="25BED558">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064390FE">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不合格品处理  </w:t>
      </w:r>
    </w:p>
    <w:p w14:paraId="5C1F38A2">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需在24小时内提交 不合格品分析报告，并重新补件（费用由供方承担）。  </w:t>
      </w:r>
    </w:p>
    <w:p w14:paraId="0BA5EA0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47B87AC9">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w:t>
      </w:r>
    </w:p>
    <w:p w14:paraId="14B142BF">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3226B573">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bCs/>
          <w:color w:val="auto"/>
          <w:sz w:val="24"/>
          <w:lang w:val="en-US" w:eastAsia="zh-CN"/>
        </w:rPr>
        <w:t>5. 其他技术条款</w:t>
      </w:r>
      <w:r>
        <w:rPr>
          <w:rFonts w:hint="eastAsia" w:ascii="宋体" w:hAnsi="宋体" w:eastAsia="宋体" w:cs="宋体"/>
          <w:b w:val="0"/>
          <w:bCs w:val="0"/>
          <w:color w:val="auto"/>
          <w:sz w:val="24"/>
          <w:lang w:val="en-US" w:eastAsia="zh-CN"/>
        </w:rPr>
        <w:t xml:space="preserve">  </w:t>
      </w:r>
    </w:p>
    <w:p w14:paraId="0CE7C617">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包装与防护 </w:t>
      </w:r>
    </w:p>
    <w:p w14:paraId="52216BA6">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 xml:space="preserve">  - 使用防静电包装袋，内部填充防震泡沫，外部木箱包装（符合 GB/T 7284-2016标准）。  </w:t>
      </w:r>
    </w:p>
    <w:p w14:paraId="02EC8AA4">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lang w:val="en-US" w:eastAsia="zh-CN"/>
        </w:rPr>
      </w:pPr>
    </w:p>
    <w:p w14:paraId="7B908B7A">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7FA3336D">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6C1AB9F5">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4AD19E6">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67425AFD">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BE1339A">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1B1C391B">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962C591">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4721BD1">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FCBF22E">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11F6EE9">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703B89A1">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5E912820">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FC4C8BF">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E9FF98C">
      <w:pPr>
        <w:spacing w:before="100" w:after="100"/>
        <w:jc w:val="cente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E3198DA">
      <w:pPr>
        <w:spacing w:before="100" w:after="100"/>
        <w:jc w:val="center"/>
        <w:rPr>
          <w:rFonts w:ascii="新宋体" w:hAnsi="新宋体" w:eastAsia="新宋体"/>
          <w:b/>
          <w:sz w:val="32"/>
          <w:szCs w:val="32"/>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w:t>
      </w:r>
      <w:r>
        <w:rPr>
          <w:rFonts w:hint="eastAsia" w:ascii="新宋体" w:hAnsi="新宋体" w:eastAsia="新宋体" w:cs="黑体"/>
          <w:b/>
          <w:sz w:val="32"/>
          <w:szCs w:val="32"/>
        </w:rPr>
        <w:t>保密协议</w:t>
      </w:r>
    </w:p>
    <w:p w14:paraId="640C8C14">
      <w:pPr>
        <w:widowControl/>
        <w:spacing w:before="100" w:after="100"/>
        <w:ind w:right="1200"/>
        <w:rPr>
          <w:rFonts w:hint="eastAsia" w:ascii="新宋体" w:hAnsi="新宋体" w:eastAsia="新宋体"/>
          <w:kern w:val="0"/>
        </w:rPr>
      </w:pPr>
    </w:p>
    <w:tbl>
      <w:tblPr>
        <w:tblStyle w:val="17"/>
        <w:tblW w:w="0" w:type="auto"/>
        <w:tblInd w:w="108" w:type="dxa"/>
        <w:tblLayout w:type="fixed"/>
        <w:tblCellMar>
          <w:top w:w="0" w:type="dxa"/>
          <w:left w:w="108" w:type="dxa"/>
          <w:bottom w:w="0" w:type="dxa"/>
          <w:right w:w="108" w:type="dxa"/>
        </w:tblCellMar>
      </w:tblPr>
      <w:tblGrid>
        <w:gridCol w:w="1332"/>
        <w:gridCol w:w="7908"/>
      </w:tblGrid>
      <w:tr w14:paraId="5023F146">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644C11FF">
            <w:pPr>
              <w:pStyle w:val="4"/>
              <w:spacing w:after="120"/>
              <w:ind w:firstLine="440"/>
              <w:rPr>
                <w:rFonts w:hint="eastAsia" w:ascii="黑体" w:hAnsi="新宋体" w:eastAsia="黑体"/>
                <w:sz w:val="24"/>
                <w:szCs w:val="24"/>
              </w:rPr>
            </w:pPr>
            <w:r>
              <w:rPr>
                <w:rFonts w:hint="eastAsia" w:ascii="黑体" w:hAnsi="新宋体" w:eastAsia="黑体" w:cs="黑体"/>
                <w:sz w:val="24"/>
                <w:szCs w:val="24"/>
              </w:rPr>
              <w:t>甲方：</w:t>
            </w:r>
          </w:p>
        </w:tc>
        <w:tc>
          <w:tcPr>
            <w:tcW w:w="7908" w:type="dxa"/>
            <w:tcBorders>
              <w:top w:val="nil"/>
              <w:left w:val="nil"/>
              <w:bottom w:val="nil"/>
              <w:right w:val="nil"/>
            </w:tcBorders>
            <w:noWrap w:val="0"/>
            <w:vAlign w:val="top"/>
          </w:tcPr>
          <w:p w14:paraId="75FB965D">
            <w:pPr>
              <w:spacing w:before="104" w:line="188" w:lineRule="auto"/>
              <w:jc w:val="center"/>
              <w:outlineLvl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中机（泉州）精密装备有限公司</w:t>
            </w:r>
          </w:p>
        </w:tc>
      </w:tr>
      <w:tr w14:paraId="4BCA653B">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10F80CDF">
            <w:pPr>
              <w:pStyle w:val="4"/>
              <w:spacing w:after="120"/>
              <w:ind w:firstLine="440"/>
              <w:rPr>
                <w:rFonts w:hint="eastAsia" w:ascii="黑体" w:hAnsi="新宋体" w:eastAsia="黑体"/>
                <w:sz w:val="24"/>
                <w:szCs w:val="24"/>
              </w:rPr>
            </w:pPr>
            <w:r>
              <w:rPr>
                <w:rFonts w:hint="eastAsia" w:ascii="黑体" w:hAnsi="新宋体" w:eastAsia="黑体" w:cs="黑体"/>
                <w:sz w:val="24"/>
                <w:szCs w:val="24"/>
              </w:rPr>
              <w:t>地址：</w:t>
            </w:r>
          </w:p>
        </w:tc>
        <w:tc>
          <w:tcPr>
            <w:tcW w:w="7908" w:type="dxa"/>
            <w:tcBorders>
              <w:top w:val="nil"/>
              <w:left w:val="nil"/>
              <w:bottom w:val="nil"/>
              <w:right w:val="nil"/>
            </w:tcBorders>
            <w:noWrap w:val="0"/>
            <w:vAlign w:val="top"/>
          </w:tcPr>
          <w:p w14:paraId="24FD8174">
            <w:pPr>
              <w:pStyle w:val="4"/>
              <w:keepNext w:val="0"/>
              <w:keepLines w:val="0"/>
              <w:pageBreakBefore w:val="0"/>
              <w:widowControl w:val="0"/>
              <w:kinsoku/>
              <w:wordWrap/>
              <w:overflowPunct/>
              <w:topLinePunct w:val="0"/>
              <w:autoSpaceDE/>
              <w:autoSpaceDN/>
              <w:bidi w:val="0"/>
              <w:adjustRightInd/>
              <w:snapToGrid/>
              <w:spacing w:after="120"/>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福建省泉州市洛江区福滨街1号2幢</w:t>
            </w:r>
          </w:p>
        </w:tc>
      </w:tr>
      <w:tr w14:paraId="4CE624DA">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0FAC91ED">
            <w:pPr>
              <w:pStyle w:val="4"/>
              <w:spacing w:after="120"/>
              <w:ind w:firstLine="440"/>
              <w:rPr>
                <w:rFonts w:hint="eastAsia" w:ascii="黑体" w:hAnsi="新宋体" w:eastAsia="黑体"/>
                <w:sz w:val="24"/>
                <w:szCs w:val="24"/>
              </w:rPr>
            </w:pPr>
          </w:p>
        </w:tc>
        <w:tc>
          <w:tcPr>
            <w:tcW w:w="7908" w:type="dxa"/>
            <w:tcBorders>
              <w:top w:val="nil"/>
              <w:left w:val="nil"/>
              <w:bottom w:val="nil"/>
              <w:right w:val="nil"/>
            </w:tcBorders>
            <w:noWrap w:val="0"/>
            <w:vAlign w:val="top"/>
          </w:tcPr>
          <w:p w14:paraId="2D6A0411">
            <w:pPr>
              <w:pStyle w:val="4"/>
              <w:keepNext w:val="0"/>
              <w:keepLines w:val="0"/>
              <w:pageBreakBefore w:val="0"/>
              <w:widowControl w:val="0"/>
              <w:kinsoku/>
              <w:wordWrap/>
              <w:overflowPunct/>
              <w:topLinePunct w:val="0"/>
              <w:autoSpaceDE/>
              <w:autoSpaceDN/>
              <w:bidi w:val="0"/>
              <w:adjustRightInd/>
              <w:snapToGrid/>
              <w:spacing w:after="120"/>
              <w:ind w:firstLine="0" w:firstLineChars="0"/>
              <w:textAlignment w:val="auto"/>
              <w:rPr>
                <w:rFonts w:hint="eastAsia" w:ascii="黑体" w:hAnsi="新宋体" w:eastAsia="黑体"/>
                <w:sz w:val="24"/>
                <w:szCs w:val="24"/>
                <w:lang w:val="en-US" w:eastAsia="zh-CN"/>
              </w:rPr>
            </w:pPr>
          </w:p>
        </w:tc>
      </w:tr>
      <w:tr w14:paraId="1D5EAA84">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3CEEF581">
            <w:pPr>
              <w:pStyle w:val="4"/>
              <w:spacing w:after="120"/>
              <w:ind w:firstLine="440"/>
              <w:rPr>
                <w:rFonts w:hint="eastAsia" w:ascii="黑体" w:hAnsi="新宋体" w:eastAsia="黑体"/>
                <w:sz w:val="24"/>
                <w:szCs w:val="24"/>
              </w:rPr>
            </w:pPr>
            <w:r>
              <w:rPr>
                <w:rFonts w:hint="eastAsia" w:ascii="黑体" w:hAnsi="新宋体" w:eastAsia="黑体" w:cs="黑体"/>
                <w:sz w:val="24"/>
                <w:szCs w:val="24"/>
              </w:rPr>
              <w:t>乙方：</w:t>
            </w:r>
          </w:p>
        </w:tc>
        <w:tc>
          <w:tcPr>
            <w:tcW w:w="7908" w:type="dxa"/>
            <w:tcBorders>
              <w:top w:val="nil"/>
              <w:left w:val="nil"/>
              <w:bottom w:val="nil"/>
              <w:right w:val="nil"/>
            </w:tcBorders>
            <w:noWrap w:val="0"/>
            <w:vAlign w:val="top"/>
          </w:tcPr>
          <w:p w14:paraId="7617C829">
            <w:pPr>
              <w:pStyle w:val="4"/>
              <w:keepNext w:val="0"/>
              <w:keepLines w:val="0"/>
              <w:pageBreakBefore w:val="0"/>
              <w:widowControl w:val="0"/>
              <w:kinsoku/>
              <w:wordWrap/>
              <w:overflowPunct/>
              <w:topLinePunct w:val="0"/>
              <w:autoSpaceDE/>
              <w:autoSpaceDN/>
              <w:bidi w:val="0"/>
              <w:adjustRightInd/>
              <w:snapToGrid/>
              <w:spacing w:after="120"/>
              <w:ind w:firstLine="0" w:firstLineChars="0"/>
              <w:textAlignment w:val="auto"/>
              <w:rPr>
                <w:rFonts w:hint="eastAsia" w:ascii="黑体" w:hAnsi="新宋体" w:eastAsia="黑体"/>
                <w:sz w:val="24"/>
                <w:szCs w:val="24"/>
              </w:rPr>
            </w:pPr>
          </w:p>
        </w:tc>
      </w:tr>
      <w:tr w14:paraId="2183A85F">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5B680DC8">
            <w:pPr>
              <w:pStyle w:val="4"/>
              <w:spacing w:after="120"/>
              <w:ind w:firstLine="440"/>
              <w:rPr>
                <w:rFonts w:hint="eastAsia" w:ascii="黑体" w:hAnsi="新宋体" w:eastAsia="黑体"/>
                <w:sz w:val="24"/>
                <w:szCs w:val="24"/>
              </w:rPr>
            </w:pPr>
            <w:r>
              <w:rPr>
                <w:rFonts w:hint="eastAsia" w:ascii="黑体" w:hAnsi="新宋体" w:eastAsia="黑体" w:cs="黑体"/>
                <w:sz w:val="24"/>
                <w:szCs w:val="24"/>
              </w:rPr>
              <w:t>地址：</w:t>
            </w:r>
          </w:p>
        </w:tc>
        <w:tc>
          <w:tcPr>
            <w:tcW w:w="7908" w:type="dxa"/>
            <w:tcBorders>
              <w:top w:val="nil"/>
              <w:left w:val="nil"/>
              <w:bottom w:val="nil"/>
              <w:right w:val="nil"/>
            </w:tcBorders>
            <w:noWrap w:val="0"/>
            <w:vAlign w:val="top"/>
          </w:tcPr>
          <w:p w14:paraId="3D7A48E6">
            <w:pPr>
              <w:pStyle w:val="4"/>
              <w:keepNext w:val="0"/>
              <w:keepLines w:val="0"/>
              <w:pageBreakBefore w:val="0"/>
              <w:widowControl w:val="0"/>
              <w:kinsoku/>
              <w:wordWrap/>
              <w:overflowPunct/>
              <w:topLinePunct w:val="0"/>
              <w:autoSpaceDE/>
              <w:autoSpaceDN/>
              <w:bidi w:val="0"/>
              <w:adjustRightInd/>
              <w:snapToGrid/>
              <w:spacing w:after="120"/>
              <w:ind w:firstLine="0" w:firstLineChars="0"/>
              <w:textAlignment w:val="auto"/>
              <w:rPr>
                <w:rFonts w:ascii="黑体" w:hAnsi="黑体" w:eastAsia="黑体" w:cs="黑体"/>
                <w:sz w:val="24"/>
                <w:szCs w:val="24"/>
              </w:rPr>
            </w:pPr>
          </w:p>
        </w:tc>
      </w:tr>
      <w:tr w14:paraId="390900CF">
        <w:tblPrEx>
          <w:tblCellMar>
            <w:top w:w="0" w:type="dxa"/>
            <w:left w:w="108" w:type="dxa"/>
            <w:bottom w:w="0" w:type="dxa"/>
            <w:right w:w="108" w:type="dxa"/>
          </w:tblCellMar>
        </w:tblPrEx>
        <w:tc>
          <w:tcPr>
            <w:tcW w:w="1332" w:type="dxa"/>
            <w:tcBorders>
              <w:top w:val="nil"/>
              <w:left w:val="nil"/>
              <w:bottom w:val="nil"/>
              <w:right w:val="nil"/>
            </w:tcBorders>
            <w:noWrap w:val="0"/>
            <w:vAlign w:val="top"/>
          </w:tcPr>
          <w:p w14:paraId="32B7F198">
            <w:pPr>
              <w:pStyle w:val="4"/>
              <w:spacing w:after="120"/>
              <w:ind w:firstLine="0"/>
              <w:rPr>
                <w:rFonts w:hint="eastAsia" w:ascii="黑体" w:hAnsi="新宋体" w:eastAsia="黑体"/>
                <w:sz w:val="24"/>
                <w:szCs w:val="24"/>
              </w:rPr>
            </w:pPr>
          </w:p>
        </w:tc>
        <w:tc>
          <w:tcPr>
            <w:tcW w:w="7908" w:type="dxa"/>
            <w:tcBorders>
              <w:top w:val="nil"/>
              <w:left w:val="nil"/>
              <w:bottom w:val="nil"/>
              <w:right w:val="nil"/>
            </w:tcBorders>
            <w:noWrap w:val="0"/>
            <w:vAlign w:val="top"/>
          </w:tcPr>
          <w:p w14:paraId="62F455DA">
            <w:pPr>
              <w:pStyle w:val="4"/>
              <w:spacing w:after="120"/>
              <w:ind w:firstLine="440"/>
              <w:rPr>
                <w:rFonts w:ascii="黑体" w:hAnsi="黑体" w:eastAsia="黑体" w:cs="黑体"/>
                <w:sz w:val="24"/>
                <w:szCs w:val="24"/>
              </w:rPr>
            </w:pPr>
          </w:p>
        </w:tc>
      </w:tr>
    </w:tbl>
    <w:p w14:paraId="0004D164">
      <w:pPr>
        <w:spacing w:line="360" w:lineRule="auto"/>
        <w:ind w:firstLine="420" w:firstLineChars="200"/>
        <w:rPr>
          <w:rFonts w:ascii="Arial" w:hAnsi="Arial" w:eastAsia="新宋体"/>
        </w:rPr>
      </w:pPr>
      <w:r>
        <w:rPr>
          <w:rFonts w:hint="eastAsia" w:ascii="Arial" w:hAnsi="新宋体" w:eastAsia="新宋体"/>
        </w:rPr>
        <w:t>乙方为</w:t>
      </w:r>
      <w:r>
        <w:rPr>
          <w:rFonts w:hint="eastAsia" w:ascii="Arial" w:hAnsi="新宋体" w:eastAsia="新宋体"/>
          <w:lang w:val="en-US" w:eastAsia="zh-CN"/>
        </w:rPr>
        <w:t>完成加工件制作需要</w:t>
      </w:r>
      <w:r>
        <w:rPr>
          <w:rFonts w:ascii="Arial" w:hAnsi="新宋体" w:eastAsia="新宋体"/>
        </w:rPr>
        <w:t>，</w:t>
      </w:r>
      <w:r>
        <w:rPr>
          <w:rFonts w:hint="eastAsia" w:ascii="Arial" w:hAnsi="新宋体" w:eastAsia="新宋体"/>
        </w:rPr>
        <w:t>已经（或将要）知悉甲方</w:t>
      </w:r>
      <w:r>
        <w:rPr>
          <w:rFonts w:hint="eastAsia" w:ascii="Arial" w:hAnsi="新宋体" w:eastAsia="新宋体"/>
          <w:lang w:val="en-US" w:eastAsia="zh-CN"/>
        </w:rPr>
        <w:t>及甲方各级子企业（以下统称为甲方）</w:t>
      </w:r>
      <w:r>
        <w:rPr>
          <w:rFonts w:hint="eastAsia" w:ascii="Arial" w:hAnsi="新宋体" w:eastAsia="新宋体"/>
        </w:rPr>
        <w:t>的</w:t>
      </w:r>
      <w:r>
        <w:rPr>
          <w:rFonts w:hint="eastAsia" w:ascii="Arial" w:hAnsi="新宋体" w:eastAsia="新宋体"/>
          <w:lang w:val="en-US" w:eastAsia="zh-CN"/>
        </w:rPr>
        <w:t>保密信息</w:t>
      </w:r>
      <w:r>
        <w:rPr>
          <w:rFonts w:ascii="Arial" w:hAnsi="新宋体" w:eastAsia="新宋体"/>
        </w:rPr>
        <w:t>。</w:t>
      </w:r>
      <w:r>
        <w:rPr>
          <w:rFonts w:hint="eastAsia" w:ascii="Arial" w:hAnsi="新宋体" w:eastAsia="新宋体"/>
        </w:rPr>
        <w:t>为明确乙方的保密义务，有效保护甲方及甲方的</w:t>
      </w:r>
      <w:r>
        <w:rPr>
          <w:rFonts w:hint="eastAsia" w:ascii="Arial" w:hAnsi="新宋体" w:eastAsia="新宋体"/>
          <w:lang w:val="en-US" w:eastAsia="zh-CN"/>
        </w:rPr>
        <w:t>保密信息</w:t>
      </w:r>
      <w:r>
        <w:rPr>
          <w:rFonts w:hint="eastAsia" w:ascii="Arial" w:hAnsi="新宋体" w:eastAsia="新宋体"/>
        </w:rPr>
        <w:t>，避免该</w:t>
      </w:r>
      <w:r>
        <w:rPr>
          <w:rFonts w:hint="eastAsia" w:ascii="Arial" w:hAnsi="新宋体" w:eastAsia="新宋体"/>
          <w:lang w:val="en-US" w:eastAsia="zh-CN"/>
        </w:rPr>
        <w:t>保密信息</w:t>
      </w:r>
      <w:r>
        <w:rPr>
          <w:rFonts w:hint="eastAsia" w:ascii="Arial" w:hAnsi="新宋体" w:eastAsia="新宋体"/>
        </w:rPr>
        <w:t>被发布披露或以任何形式泄漏，甲乙</w:t>
      </w:r>
      <w:r>
        <w:rPr>
          <w:rFonts w:hint="eastAsia" w:ascii="Arial" w:hAnsi="新宋体" w:eastAsia="新宋体"/>
          <w:lang w:val="en-US" w:eastAsia="zh-CN"/>
        </w:rPr>
        <w:t>双方</w:t>
      </w:r>
      <w:r>
        <w:rPr>
          <w:rFonts w:hint="eastAsia" w:ascii="Arial" w:hAnsi="新宋体" w:eastAsia="新宋体"/>
        </w:rPr>
        <w:t>本着平等、自愿、公平和诚信原则签订本保密协议。</w:t>
      </w:r>
    </w:p>
    <w:p w14:paraId="4928A97E">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hint="default" w:ascii="Arial" w:hAnsi="新宋体" w:eastAsia="新宋体"/>
          <w:lang w:val="en-US" w:eastAsia="zh-CN"/>
        </w:rPr>
      </w:pPr>
      <w:r>
        <w:rPr>
          <w:rFonts w:ascii="Arial" w:hAnsi="新宋体" w:eastAsia="新宋体"/>
        </w:rPr>
        <w:t>第</w:t>
      </w:r>
      <w:r>
        <w:rPr>
          <w:rFonts w:hint="eastAsia" w:ascii="Arial" w:hAnsi="Arial" w:eastAsia="新宋体"/>
        </w:rPr>
        <w:t>一</w:t>
      </w:r>
      <w:r>
        <w:rPr>
          <w:rFonts w:ascii="Arial" w:hAnsi="新宋体" w:eastAsia="新宋体"/>
        </w:rPr>
        <w:t>条</w:t>
      </w:r>
      <w:r>
        <w:rPr>
          <w:rFonts w:ascii="Arial" w:hAnsi="Arial" w:eastAsia="新宋体"/>
        </w:rPr>
        <w:tab/>
      </w:r>
      <w:r>
        <w:rPr>
          <w:rFonts w:hint="eastAsia" w:ascii="Arial" w:hAnsi="新宋体" w:eastAsia="新宋体"/>
          <w:lang w:val="en-US" w:eastAsia="zh-CN"/>
        </w:rPr>
        <w:t xml:space="preserve">保密信息  </w:t>
      </w:r>
    </w:p>
    <w:p w14:paraId="5EFBE449">
      <w:pPr>
        <w:spacing w:line="360" w:lineRule="auto"/>
        <w:ind w:firstLine="420" w:firstLineChars="200"/>
        <w:rPr>
          <w:rFonts w:hint="eastAsia" w:ascii="Arial" w:hAnsi="新宋体" w:eastAsia="新宋体"/>
        </w:rPr>
      </w:pPr>
      <w:r>
        <w:rPr>
          <w:rFonts w:hint="eastAsia" w:ascii="Arial" w:hAnsi="新宋体" w:eastAsia="新宋体"/>
        </w:rPr>
        <w:t>1、本协议所称</w:t>
      </w:r>
      <w:r>
        <w:rPr>
          <w:rFonts w:hint="eastAsia" w:ascii="Arial" w:hAnsi="新宋体" w:eastAsia="新宋体"/>
          <w:lang w:val="en-US" w:eastAsia="zh-CN"/>
        </w:rPr>
        <w:t>保密信息</w:t>
      </w:r>
      <w:r>
        <w:rPr>
          <w:rFonts w:hint="eastAsia" w:ascii="Arial" w:hAnsi="新宋体" w:eastAsia="新宋体"/>
        </w:rPr>
        <w:t>包括</w:t>
      </w:r>
      <w:r>
        <w:rPr>
          <w:rFonts w:hint="eastAsia" w:ascii="Arial" w:hAnsi="新宋体" w:eastAsia="新宋体"/>
          <w:lang w:val="en-US" w:eastAsia="zh-CN"/>
        </w:rPr>
        <w:t>但不限于</w:t>
      </w:r>
      <w:r>
        <w:rPr>
          <w:rFonts w:hint="eastAsia" w:ascii="Arial" w:hAnsi="新宋体" w:eastAsia="新宋体"/>
        </w:rPr>
        <w:t>：技术信息、专有技术、经营信息和甲方列为秘密、机密、绝密级的各项文件，乙方对此</w:t>
      </w:r>
      <w:r>
        <w:rPr>
          <w:rFonts w:hint="eastAsia" w:ascii="Arial" w:hAnsi="新宋体" w:eastAsia="新宋体"/>
          <w:lang w:val="en-US" w:eastAsia="zh-CN"/>
        </w:rPr>
        <w:t>保密信息</w:t>
      </w:r>
      <w:r>
        <w:rPr>
          <w:rFonts w:hint="eastAsia" w:ascii="Arial" w:hAnsi="新宋体" w:eastAsia="新宋体"/>
        </w:rPr>
        <w:t>承担保密义务。</w:t>
      </w:r>
    </w:p>
    <w:p w14:paraId="31C8F00C">
      <w:pPr>
        <w:spacing w:line="360" w:lineRule="auto"/>
        <w:ind w:firstLine="420" w:firstLineChars="200"/>
        <w:rPr>
          <w:rFonts w:hint="eastAsia" w:ascii="Arial" w:hAnsi="新宋体" w:eastAsia="新宋体"/>
        </w:rPr>
      </w:pPr>
      <w:r>
        <w:rPr>
          <w:rFonts w:hint="eastAsia" w:ascii="Arial" w:hAnsi="新宋体" w:eastAsia="新宋体"/>
        </w:rPr>
        <w:t>2、技术信息是指甲方拥有或取得的有关生产和产品销售的技术方案、制造方式、工艺流程、运算机软件、数据库、实验结果、技术数据、图纸、样品、样机、模型、模具、说明书、操作手册、技术文档等信息。</w:t>
      </w:r>
    </w:p>
    <w:p w14:paraId="24D18964">
      <w:pPr>
        <w:spacing w:line="360" w:lineRule="auto"/>
        <w:ind w:firstLine="420" w:firstLineChars="200"/>
        <w:rPr>
          <w:rFonts w:hint="eastAsia" w:ascii="Arial" w:hAnsi="新宋体" w:eastAsia="新宋体"/>
        </w:rPr>
      </w:pPr>
      <w:r>
        <w:rPr>
          <w:rFonts w:hint="eastAsia" w:ascii="Arial" w:hAnsi="新宋体" w:eastAsia="新宋体"/>
        </w:rPr>
        <w:t>3、专有技术是指甲方拥有的有关生产和产品销售的技术知识、信息、技术资料、制作工艺、制作方式、体会、方法或其组合</w:t>
      </w:r>
      <w:r>
        <w:rPr>
          <w:rFonts w:hint="eastAsia" w:ascii="Arial" w:hAnsi="新宋体" w:eastAsia="新宋体"/>
          <w:lang w:val="en-US" w:eastAsia="zh-CN"/>
        </w:rPr>
        <w:t>等</w:t>
      </w:r>
      <w:r>
        <w:rPr>
          <w:rFonts w:hint="eastAsia" w:ascii="Arial" w:hAnsi="新宋体" w:eastAsia="新宋体"/>
        </w:rPr>
        <w:t>。</w:t>
      </w:r>
    </w:p>
    <w:p w14:paraId="66E698B2">
      <w:pPr>
        <w:spacing w:line="360" w:lineRule="auto"/>
        <w:ind w:firstLine="420" w:firstLineChars="200"/>
        <w:rPr>
          <w:rFonts w:hint="eastAsia" w:ascii="Arial" w:hAnsi="新宋体" w:eastAsia="新宋体"/>
        </w:rPr>
      </w:pPr>
      <w:r>
        <w:rPr>
          <w:rFonts w:hint="eastAsia" w:ascii="Arial" w:hAnsi="新宋体" w:eastAsia="新宋体"/>
        </w:rPr>
        <w:t>4、经营信息是指有关商业活动的市场营销策略、货源情报、定价政策、不发布的财务资料、合同、交易相对人资料、客户名单等销售和经营信息。</w:t>
      </w:r>
    </w:p>
    <w:p w14:paraId="72A4140B">
      <w:pPr>
        <w:spacing w:line="360" w:lineRule="auto"/>
        <w:ind w:firstLine="420" w:firstLineChars="200"/>
        <w:rPr>
          <w:rFonts w:ascii="Arial" w:hAnsi="新宋体" w:eastAsia="新宋体"/>
        </w:rPr>
      </w:pPr>
      <w:r>
        <w:rPr>
          <w:rFonts w:hint="eastAsia" w:ascii="Arial" w:hAnsi="新宋体" w:eastAsia="新宋体"/>
        </w:rPr>
        <w:t>5、甲方依照法律规定（如在缔约进程中知悉其他相对人的</w:t>
      </w:r>
      <w:r>
        <w:rPr>
          <w:rFonts w:hint="eastAsia" w:ascii="Arial" w:hAnsi="新宋体" w:eastAsia="新宋体"/>
          <w:lang w:eastAsia="zh-CN"/>
        </w:rPr>
        <w:t>保密信息</w:t>
      </w:r>
      <w:r>
        <w:rPr>
          <w:rFonts w:hint="eastAsia" w:ascii="Arial" w:hAnsi="新宋体" w:eastAsia="新宋体"/>
        </w:rPr>
        <w:t>）和在有关协议的约定中对外承担保密义务的事项，也属本保密协议所称的</w:t>
      </w:r>
      <w:r>
        <w:rPr>
          <w:rFonts w:hint="eastAsia" w:ascii="Arial" w:hAnsi="新宋体" w:eastAsia="新宋体"/>
          <w:lang w:val="en-US" w:eastAsia="zh-CN"/>
        </w:rPr>
        <w:t>保密信息</w:t>
      </w:r>
      <w:r>
        <w:rPr>
          <w:rFonts w:hint="eastAsia" w:ascii="Arial" w:hAnsi="新宋体" w:eastAsia="新宋体"/>
        </w:rPr>
        <w:t>。</w:t>
      </w:r>
      <w:r>
        <w:rPr>
          <w:rFonts w:ascii="Arial" w:hAnsi="新宋体" w:eastAsia="新宋体"/>
        </w:rPr>
        <w:t xml:space="preserve"> </w:t>
      </w:r>
    </w:p>
    <w:p w14:paraId="07BD2DA8">
      <w:pPr>
        <w:spacing w:line="360" w:lineRule="auto"/>
        <w:ind w:firstLine="420" w:firstLineChars="200"/>
        <w:rPr>
          <w:rFonts w:hint="eastAsia" w:ascii="Arial" w:hAnsi="Arial" w:eastAsia="新宋体"/>
        </w:rPr>
      </w:pPr>
      <w:r>
        <w:rPr>
          <w:rFonts w:hint="eastAsia" w:ascii="Arial" w:hAnsi="新宋体" w:eastAsia="新宋体"/>
          <w:lang w:val="en-US" w:eastAsia="zh-CN"/>
        </w:rPr>
        <w:t>6</w:t>
      </w:r>
      <w:r>
        <w:rPr>
          <w:rFonts w:hint="eastAsia" w:ascii="Arial" w:hAnsi="Arial" w:eastAsia="新宋体"/>
        </w:rPr>
        <w:t xml:space="preserve">、 </w:t>
      </w:r>
      <w:r>
        <w:rPr>
          <w:rFonts w:ascii="Arial" w:hAnsi="Arial" w:eastAsia="新宋体"/>
        </w:rPr>
        <w:t>保密信息可以以书面、口头或其他方式提供</w:t>
      </w:r>
      <w:r>
        <w:rPr>
          <w:rFonts w:hint="eastAsia" w:ascii="Arial" w:hAnsi="Arial" w:eastAsia="新宋体"/>
          <w:lang w:eastAsia="zh-CN"/>
        </w:rPr>
        <w:t>，</w:t>
      </w:r>
      <w:r>
        <w:rPr>
          <w:rFonts w:hint="eastAsia" w:ascii="Arial" w:hAnsi="Arial" w:eastAsia="新宋体"/>
        </w:rPr>
        <w:t>乙方以各种形式从甲方获得的本条所列的全部保密信息均属于本协议约定的保密义务范围。</w:t>
      </w:r>
      <w:r>
        <w:rPr>
          <w:rFonts w:ascii="Arial" w:hAnsi="Arial" w:eastAsia="新宋体"/>
        </w:rPr>
        <w:t>即使</w:t>
      </w:r>
      <w:r>
        <w:rPr>
          <w:rFonts w:hint="eastAsia" w:ascii="Arial" w:hAnsi="Arial" w:eastAsia="新宋体"/>
        </w:rPr>
        <w:t>甲方</w:t>
      </w:r>
      <w:r>
        <w:rPr>
          <w:rFonts w:ascii="Arial" w:hAnsi="Arial" w:eastAsia="新宋体"/>
        </w:rPr>
        <w:t>未在披露材料上注明“保密”或未在披露过程中提示“保密性”，对于保密信息的内容，</w:t>
      </w:r>
      <w:r>
        <w:rPr>
          <w:rFonts w:hint="eastAsia" w:ascii="Arial" w:hAnsi="Arial" w:eastAsia="新宋体"/>
        </w:rPr>
        <w:t>乙方</w:t>
      </w:r>
      <w:r>
        <w:rPr>
          <w:rFonts w:ascii="Arial" w:hAnsi="Arial" w:eastAsia="新宋体"/>
        </w:rPr>
        <w:t>均有义务保密。</w:t>
      </w:r>
    </w:p>
    <w:p w14:paraId="4110F401">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ascii="Arial" w:hAnsi="新宋体" w:eastAsia="新宋体" w:cs="Times New Roman"/>
        </w:rPr>
      </w:pPr>
      <w:r>
        <w:rPr>
          <w:rFonts w:ascii="Arial" w:hAnsi="新宋体" w:eastAsia="新宋体" w:cs="Times New Roman"/>
        </w:rPr>
        <w:t>第</w:t>
      </w:r>
      <w:r>
        <w:rPr>
          <w:rFonts w:hint="eastAsia" w:ascii="Arial" w:hAnsi="新宋体" w:eastAsia="新宋体" w:cs="Times New Roman"/>
        </w:rPr>
        <w:t>二</w:t>
      </w:r>
      <w:r>
        <w:rPr>
          <w:rFonts w:ascii="Arial" w:hAnsi="新宋体" w:eastAsia="新宋体" w:cs="Times New Roman"/>
        </w:rPr>
        <w:t>条 保密义务</w:t>
      </w:r>
    </w:p>
    <w:p w14:paraId="31C0E3E6">
      <w:pPr>
        <w:spacing w:line="360" w:lineRule="auto"/>
        <w:ind w:firstLine="420" w:firstLineChars="200"/>
        <w:rPr>
          <w:rFonts w:hint="eastAsia" w:ascii="Arial" w:hAnsi="Arial" w:eastAsia="新宋体"/>
        </w:rPr>
      </w:pPr>
      <w:r>
        <w:rPr>
          <w:rFonts w:hint="eastAsia" w:ascii="Arial" w:hAnsi="Arial" w:eastAsia="新宋体"/>
        </w:rPr>
        <w:t>1、</w:t>
      </w:r>
      <w:r>
        <w:rPr>
          <w:rFonts w:hint="eastAsia" w:ascii="Arial" w:hAnsi="Arial" w:eastAsia="新宋体"/>
          <w:lang w:eastAsia="zh-CN"/>
        </w:rPr>
        <w:t>乙方</w:t>
      </w:r>
      <w:r>
        <w:rPr>
          <w:rFonts w:hint="eastAsia" w:ascii="Arial" w:hAnsi="Arial" w:eastAsia="新宋体"/>
        </w:rPr>
        <w:t>对其知悉的</w:t>
      </w:r>
      <w:r>
        <w:rPr>
          <w:rFonts w:hint="eastAsia" w:ascii="Arial" w:hAnsi="Arial" w:eastAsia="新宋体"/>
          <w:lang w:val="en-US" w:eastAsia="zh-CN"/>
        </w:rPr>
        <w:t>甲方及甲方各级子企业的</w:t>
      </w:r>
      <w:r>
        <w:rPr>
          <w:rFonts w:hint="eastAsia" w:ascii="Arial" w:hAnsi="Arial" w:eastAsia="新宋体"/>
          <w:lang w:eastAsia="zh-CN"/>
        </w:rPr>
        <w:t>保密信息</w:t>
      </w:r>
      <w:r>
        <w:rPr>
          <w:rFonts w:hint="eastAsia" w:ascii="Arial" w:hAnsi="Arial" w:eastAsia="新宋体"/>
        </w:rPr>
        <w:t>应严格保守，保证不被披露或利用，包括意外或过失。</w:t>
      </w:r>
    </w:p>
    <w:p w14:paraId="7378688D">
      <w:pPr>
        <w:spacing w:line="360" w:lineRule="auto"/>
        <w:ind w:firstLine="420" w:firstLineChars="200"/>
        <w:rPr>
          <w:rFonts w:hint="eastAsia" w:ascii="Arial" w:hAnsi="Arial" w:eastAsia="新宋体"/>
        </w:rPr>
      </w:pPr>
      <w:r>
        <w:rPr>
          <w:rFonts w:ascii="Arial" w:hAnsi="Arial" w:eastAsia="新宋体"/>
        </w:rPr>
        <w:t>2</w:t>
      </w:r>
      <w:r>
        <w:rPr>
          <w:rFonts w:hint="eastAsia" w:ascii="Arial" w:hAnsi="Arial" w:eastAsia="新宋体"/>
        </w:rPr>
        <w:t>、</w:t>
      </w:r>
      <w:r>
        <w:rPr>
          <w:rFonts w:ascii="Arial" w:hAnsi="Arial" w:eastAsia="新宋体"/>
        </w:rPr>
        <w:t>乙方保证</w:t>
      </w:r>
      <w:r>
        <w:rPr>
          <w:rFonts w:hint="eastAsia" w:ascii="Arial" w:hAnsi="Arial" w:eastAsia="新宋体"/>
        </w:rPr>
        <w:t>对</w:t>
      </w:r>
      <w:r>
        <w:rPr>
          <w:rFonts w:ascii="Arial" w:hAnsi="Arial" w:eastAsia="新宋体"/>
        </w:rPr>
        <w:t>保密信息仅用于</w:t>
      </w:r>
      <w:r>
        <w:rPr>
          <w:rFonts w:hint="eastAsia" w:ascii="Arial" w:hAnsi="新宋体" w:eastAsia="新宋体"/>
          <w:lang w:val="en-US" w:eastAsia="zh-CN"/>
        </w:rPr>
        <w:t>加工件制作</w:t>
      </w:r>
      <w:r>
        <w:rPr>
          <w:rFonts w:ascii="Arial" w:hAnsi="Arial" w:eastAsia="新宋体"/>
        </w:rPr>
        <w:t>有关的用途。乙方</w:t>
      </w:r>
      <w:r>
        <w:rPr>
          <w:rFonts w:hint="eastAsia" w:ascii="Arial" w:hAnsi="Arial" w:eastAsia="新宋体"/>
        </w:rPr>
        <w:t>未经授权，不得擅自披露、利用</w:t>
      </w:r>
      <w:r>
        <w:rPr>
          <w:rFonts w:hint="eastAsia" w:ascii="Arial" w:hAnsi="Arial" w:eastAsia="新宋体"/>
          <w:lang w:eastAsia="zh-CN"/>
        </w:rPr>
        <w:t>保密信息</w:t>
      </w:r>
      <w:r>
        <w:rPr>
          <w:rFonts w:hint="eastAsia" w:ascii="Arial" w:hAnsi="Arial" w:eastAsia="新宋体"/>
        </w:rPr>
        <w:t>，制造再现</w:t>
      </w:r>
      <w:r>
        <w:rPr>
          <w:rFonts w:hint="eastAsia" w:ascii="Arial" w:hAnsi="Arial" w:eastAsia="新宋体"/>
          <w:lang w:eastAsia="zh-CN"/>
        </w:rPr>
        <w:t>保密信息</w:t>
      </w:r>
      <w:r>
        <w:rPr>
          <w:rFonts w:hint="eastAsia" w:ascii="Arial" w:hAnsi="Arial" w:eastAsia="新宋体"/>
        </w:rPr>
        <w:t>的器材，取走与</w:t>
      </w:r>
      <w:r>
        <w:rPr>
          <w:rFonts w:hint="eastAsia" w:ascii="Arial" w:hAnsi="Arial" w:eastAsia="新宋体"/>
          <w:lang w:eastAsia="zh-CN"/>
        </w:rPr>
        <w:t>保密信息</w:t>
      </w:r>
      <w:r>
        <w:rPr>
          <w:rFonts w:hint="eastAsia" w:ascii="Arial" w:hAnsi="Arial" w:eastAsia="新宋体"/>
        </w:rPr>
        <w:t>有关的物件；</w:t>
      </w:r>
      <w:r>
        <w:rPr>
          <w:rFonts w:ascii="Arial" w:hAnsi="Arial" w:eastAsia="新宋体"/>
        </w:rPr>
        <w:t>不得向</w:t>
      </w:r>
      <w:r>
        <w:rPr>
          <w:rFonts w:hint="eastAsia" w:ascii="Arial" w:hAnsi="Arial" w:eastAsia="新宋体"/>
        </w:rPr>
        <w:t>本协议外的</w:t>
      </w:r>
      <w:r>
        <w:rPr>
          <w:rFonts w:hint="eastAsia" w:ascii="Arial" w:hAnsi="Arial" w:eastAsia="新宋体"/>
          <w:lang w:val="en-US" w:eastAsia="zh-CN"/>
        </w:rPr>
        <w:t>任何第三人</w:t>
      </w:r>
      <w:r>
        <w:rPr>
          <w:rFonts w:ascii="Arial" w:hAnsi="Arial" w:eastAsia="新宋体"/>
        </w:rPr>
        <w:t>（包含与项目无关的其他工作人员）披露</w:t>
      </w:r>
      <w:r>
        <w:rPr>
          <w:rFonts w:hint="eastAsia" w:ascii="Arial" w:hAnsi="Arial" w:eastAsia="新宋体"/>
          <w:lang w:val="en-US" w:eastAsia="zh-CN"/>
        </w:rPr>
        <w:t>甲方的</w:t>
      </w:r>
      <w:r>
        <w:rPr>
          <w:rFonts w:ascii="Arial" w:hAnsi="Arial" w:eastAsia="新宋体"/>
        </w:rPr>
        <w:t>保密信息</w:t>
      </w:r>
      <w:r>
        <w:rPr>
          <w:rFonts w:hint="eastAsia" w:ascii="Arial" w:hAnsi="Arial" w:eastAsia="新宋体"/>
        </w:rPr>
        <w:t>；不得许诺（出借、赠与、出租、转让等处分甲方</w:t>
      </w:r>
      <w:r>
        <w:rPr>
          <w:rFonts w:hint="eastAsia" w:ascii="Arial" w:hAnsi="Arial" w:eastAsia="新宋体"/>
          <w:lang w:eastAsia="zh-CN"/>
        </w:rPr>
        <w:t>保密信息</w:t>
      </w:r>
      <w:r>
        <w:rPr>
          <w:rFonts w:hint="eastAsia" w:ascii="Arial" w:hAnsi="Arial" w:eastAsia="新宋体"/>
        </w:rPr>
        <w:t>的行为皆属于“许诺”）或协助不承担保密义务的任何第三人利用甲方的</w:t>
      </w:r>
      <w:r>
        <w:rPr>
          <w:rFonts w:hint="eastAsia" w:ascii="Arial" w:hAnsi="Arial" w:eastAsia="新宋体"/>
          <w:lang w:eastAsia="zh-CN"/>
        </w:rPr>
        <w:t>保密信息</w:t>
      </w:r>
      <w:r>
        <w:rPr>
          <w:rFonts w:hint="eastAsia" w:ascii="Arial" w:hAnsi="Arial" w:eastAsia="新宋体"/>
        </w:rPr>
        <w:t>；</w:t>
      </w:r>
    </w:p>
    <w:p w14:paraId="51270655">
      <w:pPr>
        <w:spacing w:line="360" w:lineRule="auto"/>
        <w:ind w:firstLine="420" w:firstLineChars="200"/>
        <w:rPr>
          <w:rFonts w:hint="eastAsia" w:ascii="Arial" w:hAnsi="Arial" w:eastAsia="新宋体"/>
        </w:rPr>
      </w:pPr>
      <w:r>
        <w:rPr>
          <w:rFonts w:hint="eastAsia" w:ascii="Arial" w:hAnsi="Arial" w:eastAsia="新宋体"/>
        </w:rPr>
        <w:t>3、若</w:t>
      </w:r>
      <w:r>
        <w:rPr>
          <w:rFonts w:hint="eastAsia" w:ascii="Arial" w:hAnsi="Arial" w:eastAsia="新宋体"/>
          <w:lang w:val="en-US" w:eastAsia="zh-CN"/>
        </w:rPr>
        <w:t>乙方</w:t>
      </w:r>
      <w:r>
        <w:rPr>
          <w:rFonts w:hint="eastAsia" w:ascii="Arial" w:hAnsi="Arial" w:eastAsia="新宋体"/>
        </w:rPr>
        <w:t>觉察</w:t>
      </w:r>
      <w:r>
        <w:rPr>
          <w:rFonts w:hint="eastAsia" w:ascii="Arial" w:hAnsi="Arial" w:eastAsia="新宋体"/>
          <w:lang w:eastAsia="zh-CN"/>
        </w:rPr>
        <w:t>保密信息</w:t>
      </w:r>
      <w:r>
        <w:rPr>
          <w:rFonts w:hint="eastAsia" w:ascii="Arial" w:hAnsi="Arial" w:eastAsia="新宋体"/>
        </w:rPr>
        <w:t>已被泄露或</w:t>
      </w:r>
      <w:r>
        <w:rPr>
          <w:rFonts w:hint="eastAsia" w:ascii="Arial" w:hAnsi="Arial" w:eastAsia="新宋体"/>
          <w:lang w:val="en-US" w:eastAsia="zh-CN"/>
        </w:rPr>
        <w:t>因</w:t>
      </w:r>
      <w:r>
        <w:rPr>
          <w:rFonts w:hint="eastAsia" w:ascii="Arial" w:hAnsi="Arial" w:eastAsia="新宋体"/>
        </w:rPr>
        <w:t>自己过失已泄露</w:t>
      </w:r>
      <w:r>
        <w:rPr>
          <w:rFonts w:hint="eastAsia" w:ascii="Arial" w:hAnsi="Arial" w:eastAsia="新宋体"/>
          <w:lang w:eastAsia="zh-CN"/>
        </w:rPr>
        <w:t>保密信息</w:t>
      </w:r>
      <w:r>
        <w:rPr>
          <w:rFonts w:hint="eastAsia" w:ascii="Arial" w:hAnsi="Arial" w:eastAsia="新宋体"/>
        </w:rPr>
        <w:t>，应当采取有效方式避免泄密进一步扩大，并及时向甲方报告。</w:t>
      </w:r>
    </w:p>
    <w:p w14:paraId="6F7A086B">
      <w:pPr>
        <w:spacing w:line="360" w:lineRule="auto"/>
        <w:ind w:firstLine="420" w:firstLineChars="200"/>
        <w:rPr>
          <w:rFonts w:hint="default" w:ascii="Arial" w:hAnsi="Arial" w:eastAsia="新宋体"/>
          <w:lang w:val="en-US" w:eastAsia="zh-CN"/>
        </w:rPr>
      </w:pPr>
      <w:r>
        <w:rPr>
          <w:rFonts w:hint="eastAsia" w:ascii="Arial" w:hAnsi="Arial" w:eastAsia="新宋体"/>
          <w:lang w:val="en-US" w:eastAsia="zh-CN"/>
        </w:rPr>
        <w:t>4、甲方无需向乙方支付保密费。</w:t>
      </w:r>
    </w:p>
    <w:p w14:paraId="48B5257B">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ascii="Arial" w:hAnsi="新宋体" w:eastAsia="新宋体" w:cs="Times New Roman"/>
        </w:rPr>
      </w:pPr>
      <w:r>
        <w:rPr>
          <w:rFonts w:ascii="Arial" w:hAnsi="新宋体" w:eastAsia="新宋体" w:cs="Times New Roman"/>
        </w:rPr>
        <w:t>第</w:t>
      </w:r>
      <w:r>
        <w:rPr>
          <w:rFonts w:hint="eastAsia" w:ascii="Arial" w:hAnsi="新宋体" w:eastAsia="新宋体" w:cs="Times New Roman"/>
          <w:lang w:val="en-US" w:eastAsia="zh-CN"/>
        </w:rPr>
        <w:t>三</w:t>
      </w:r>
      <w:r>
        <w:rPr>
          <w:rFonts w:ascii="Arial" w:hAnsi="新宋体" w:eastAsia="新宋体" w:cs="Times New Roman"/>
        </w:rPr>
        <w:t>条 保密期限</w:t>
      </w:r>
    </w:p>
    <w:p w14:paraId="6C5F8FD1">
      <w:pPr>
        <w:spacing w:line="360" w:lineRule="auto"/>
        <w:ind w:firstLine="420" w:firstLineChars="200"/>
        <w:rPr>
          <w:rFonts w:hint="eastAsia" w:ascii="Arial" w:hAnsi="Arial" w:eastAsia="新宋体"/>
        </w:rPr>
      </w:pPr>
      <w:r>
        <w:rPr>
          <w:rFonts w:hint="eastAsia" w:ascii="Arial" w:hAnsi="Arial" w:eastAsia="新宋体"/>
        </w:rPr>
        <w:t>本合同项下保密义务长期有效</w:t>
      </w:r>
      <w:r>
        <w:rPr>
          <w:rFonts w:hint="eastAsia" w:ascii="Arial" w:hAnsi="Arial" w:eastAsia="新宋体"/>
          <w:lang w:eastAsia="zh-CN"/>
        </w:rPr>
        <w:t>，</w:t>
      </w:r>
      <w:r>
        <w:rPr>
          <w:rFonts w:hint="eastAsia" w:ascii="Arial" w:hAnsi="Arial" w:eastAsia="新宋体"/>
        </w:rPr>
        <w:t>在合作关系存续期间和终止后，</w:t>
      </w:r>
      <w:r>
        <w:rPr>
          <w:rFonts w:hint="eastAsia" w:ascii="Arial" w:hAnsi="Arial" w:eastAsia="新宋体"/>
          <w:lang w:val="en-US" w:eastAsia="zh-CN"/>
        </w:rPr>
        <w:t>乙方</w:t>
      </w:r>
      <w:r>
        <w:rPr>
          <w:rFonts w:hint="eastAsia" w:ascii="Arial" w:hAnsi="Arial" w:eastAsia="新宋体"/>
        </w:rPr>
        <w:t>应对其所</w:t>
      </w:r>
      <w:r>
        <w:rPr>
          <w:rFonts w:hint="eastAsia" w:ascii="Arial" w:hAnsi="Arial" w:eastAsia="新宋体"/>
          <w:lang w:val="en-US" w:eastAsia="zh-CN"/>
        </w:rPr>
        <w:t>知悉</w:t>
      </w:r>
      <w:r>
        <w:rPr>
          <w:rFonts w:hint="eastAsia" w:ascii="Arial" w:hAnsi="Arial" w:eastAsia="新宋体"/>
        </w:rPr>
        <w:t>的保密信息继续严加保守，不得以任何理由或借口予以泄露。在符合以下情形之一，</w:t>
      </w:r>
      <w:r>
        <w:rPr>
          <w:rFonts w:hint="eastAsia" w:ascii="Arial" w:hAnsi="Arial" w:eastAsia="新宋体"/>
          <w:lang w:eastAsia="zh-CN"/>
        </w:rPr>
        <w:t>乙方</w:t>
      </w:r>
      <w:r>
        <w:rPr>
          <w:rFonts w:hint="eastAsia" w:ascii="Arial" w:hAnsi="Arial" w:eastAsia="新宋体"/>
        </w:rPr>
        <w:t>的保密义务终止：</w:t>
      </w:r>
    </w:p>
    <w:p w14:paraId="5FDF0581">
      <w:pPr>
        <w:spacing w:line="360" w:lineRule="auto"/>
        <w:ind w:firstLine="420" w:firstLineChars="200"/>
        <w:rPr>
          <w:rFonts w:hint="eastAsia" w:ascii="Arial" w:hAnsi="Arial" w:eastAsia="新宋体"/>
        </w:rPr>
      </w:pPr>
      <w:r>
        <w:rPr>
          <w:rFonts w:hint="eastAsia" w:ascii="Arial" w:hAnsi="Arial" w:eastAsia="新宋体"/>
          <w:lang w:eastAsia="zh-CN"/>
        </w:rPr>
        <w:t>（</w:t>
      </w:r>
      <w:r>
        <w:rPr>
          <w:rFonts w:hint="eastAsia" w:ascii="Arial" w:hAnsi="Arial" w:eastAsia="新宋体"/>
          <w:lang w:val="en-US" w:eastAsia="zh-CN"/>
        </w:rPr>
        <w:t>1）</w:t>
      </w:r>
      <w:r>
        <w:rPr>
          <w:rFonts w:hint="eastAsia" w:ascii="Arial" w:hAnsi="Arial" w:eastAsia="新宋体"/>
        </w:rPr>
        <w:t>甲方授权同意披露或利用</w:t>
      </w:r>
      <w:r>
        <w:rPr>
          <w:rFonts w:hint="eastAsia" w:ascii="Arial" w:hAnsi="Arial" w:eastAsia="新宋体"/>
          <w:lang w:eastAsia="zh-CN"/>
        </w:rPr>
        <w:t>保密信息</w:t>
      </w:r>
      <w:r>
        <w:rPr>
          <w:rFonts w:hint="eastAsia" w:ascii="Arial" w:hAnsi="Arial" w:eastAsia="新宋体"/>
        </w:rPr>
        <w:t>。</w:t>
      </w:r>
    </w:p>
    <w:p w14:paraId="0B2EEF54">
      <w:pPr>
        <w:spacing w:line="360" w:lineRule="auto"/>
        <w:ind w:firstLine="420" w:firstLineChars="200"/>
        <w:rPr>
          <w:rFonts w:hint="eastAsia" w:ascii="Arial" w:hAnsi="Arial" w:eastAsia="新宋体"/>
        </w:rPr>
      </w:pPr>
      <w:r>
        <w:rPr>
          <w:rFonts w:hint="eastAsia" w:ascii="Arial" w:hAnsi="Arial" w:eastAsia="新宋体"/>
          <w:lang w:eastAsia="zh-CN"/>
        </w:rPr>
        <w:t>（</w:t>
      </w:r>
      <w:r>
        <w:rPr>
          <w:rFonts w:hint="eastAsia" w:ascii="Arial" w:hAnsi="Arial" w:eastAsia="新宋体"/>
          <w:lang w:val="en-US" w:eastAsia="zh-CN"/>
        </w:rPr>
        <w:t>2）</w:t>
      </w:r>
      <w:r>
        <w:rPr>
          <w:rFonts w:hint="eastAsia" w:ascii="Arial" w:hAnsi="Arial" w:eastAsia="新宋体"/>
        </w:rPr>
        <w:t>有关的信息、技术等已进入公共领域。</w:t>
      </w:r>
    </w:p>
    <w:p w14:paraId="5E376D10">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ascii="Arial" w:hAnsi="新宋体" w:eastAsia="新宋体" w:cs="Times New Roman"/>
        </w:rPr>
      </w:pPr>
      <w:r>
        <w:rPr>
          <w:rFonts w:hint="eastAsia" w:ascii="Arial" w:hAnsi="新宋体" w:eastAsia="新宋体" w:cs="Times New Roman"/>
          <w:lang w:val="en-US" w:eastAsia="zh-CN"/>
        </w:rPr>
        <w:t xml:space="preserve">第四条 </w:t>
      </w:r>
      <w:r>
        <w:rPr>
          <w:rFonts w:ascii="Arial" w:hAnsi="新宋体" w:eastAsia="新宋体" w:cs="Times New Roman"/>
        </w:rPr>
        <w:t>违约责任</w:t>
      </w:r>
    </w:p>
    <w:p w14:paraId="447EBFDA">
      <w:pPr>
        <w:spacing w:line="360" w:lineRule="auto"/>
        <w:ind w:firstLine="420" w:firstLineChars="200"/>
        <w:rPr>
          <w:rFonts w:hint="eastAsia" w:ascii="Arial" w:hAnsi="新宋体" w:eastAsia="新宋体"/>
        </w:rPr>
      </w:pPr>
      <w:r>
        <w:rPr>
          <w:rFonts w:hint="eastAsia" w:ascii="Arial" w:hAnsi="新宋体" w:eastAsia="新宋体"/>
        </w:rPr>
        <w:t>1、乙方</w:t>
      </w:r>
      <w:r>
        <w:rPr>
          <w:rFonts w:ascii="Arial" w:hAnsi="新宋体" w:eastAsia="新宋体"/>
        </w:rPr>
        <w:t>未履行本协议项下的任何条款均被视为违约，</w:t>
      </w:r>
      <w:r>
        <w:rPr>
          <w:rFonts w:hint="eastAsia" w:ascii="Arial" w:hAnsi="新宋体" w:eastAsia="新宋体"/>
        </w:rPr>
        <w:t>应当向甲方支付</w:t>
      </w:r>
      <w:r>
        <w:rPr>
          <w:rFonts w:hint="eastAsia" w:ascii="Arial" w:hAnsi="新宋体" w:eastAsia="新宋体"/>
          <w:lang w:val="en-US" w:eastAsia="zh-CN"/>
        </w:rPr>
        <w:t>违约金，违约金金额50万元</w:t>
      </w:r>
      <w:r>
        <w:rPr>
          <w:rFonts w:hint="eastAsia" w:ascii="Arial" w:hAnsi="新宋体" w:eastAsia="新宋体"/>
          <w:lang w:eastAsia="zh-CN"/>
        </w:rPr>
        <w:t>。</w:t>
      </w:r>
      <w:r>
        <w:rPr>
          <w:rFonts w:hint="eastAsia" w:ascii="Arial" w:hAnsi="新宋体" w:eastAsia="新宋体"/>
        </w:rPr>
        <w:t>无论违约金给付与否，甲方均有权不经预告立即终止与乙方的合作关系。</w:t>
      </w:r>
    </w:p>
    <w:p w14:paraId="6B4D544E">
      <w:pPr>
        <w:spacing w:line="360" w:lineRule="auto"/>
        <w:ind w:firstLine="420" w:firstLineChars="200"/>
        <w:rPr>
          <w:rFonts w:hint="eastAsia" w:ascii="Arial" w:hAnsi="新宋体" w:eastAsia="新宋体"/>
        </w:rPr>
      </w:pPr>
      <w:r>
        <w:rPr>
          <w:rFonts w:hint="eastAsia" w:ascii="Arial" w:hAnsi="新宋体" w:eastAsia="新宋体"/>
        </w:rPr>
        <w:t>2、乙方如将</w:t>
      </w:r>
      <w:r>
        <w:rPr>
          <w:rFonts w:hint="eastAsia" w:ascii="Arial" w:hAnsi="新宋体" w:eastAsia="新宋体"/>
          <w:lang w:eastAsia="zh-CN"/>
        </w:rPr>
        <w:t>保密信息</w:t>
      </w:r>
      <w:r>
        <w:rPr>
          <w:rFonts w:hint="eastAsia" w:ascii="Arial" w:hAnsi="新宋体" w:eastAsia="新宋体"/>
        </w:rPr>
        <w:t>泄露给第三人或利用</w:t>
      </w:r>
      <w:r>
        <w:rPr>
          <w:rFonts w:hint="eastAsia" w:ascii="Arial" w:hAnsi="新宋体" w:eastAsia="新宋体"/>
          <w:lang w:eastAsia="zh-CN"/>
        </w:rPr>
        <w:t>保密信息</w:t>
      </w:r>
      <w:r>
        <w:rPr>
          <w:rFonts w:hint="eastAsia" w:ascii="Arial" w:hAnsi="新宋体" w:eastAsia="新宋体"/>
        </w:rPr>
        <w:t>使甲方蒙受损失的，乙方应当赔偿甲方的</w:t>
      </w:r>
      <w:r>
        <w:rPr>
          <w:rFonts w:hint="eastAsia" w:ascii="Arial" w:hAnsi="新宋体" w:eastAsia="新宋体"/>
          <w:lang w:val="en-US" w:eastAsia="zh-CN"/>
        </w:rPr>
        <w:t>全部</w:t>
      </w:r>
      <w:r>
        <w:rPr>
          <w:rFonts w:hint="eastAsia" w:ascii="Arial" w:hAnsi="新宋体" w:eastAsia="新宋体"/>
        </w:rPr>
        <w:t>损失</w:t>
      </w:r>
      <w:r>
        <w:rPr>
          <w:rFonts w:hint="eastAsia" w:ascii="Arial" w:hAnsi="新宋体" w:eastAsia="新宋体"/>
          <w:lang w:val="en-US" w:eastAsia="zh-CN"/>
        </w:rPr>
        <w:t>及甲方为此支出的合理开支（包括律师费、诉讼费等）</w:t>
      </w:r>
      <w:r>
        <w:rPr>
          <w:rFonts w:hint="eastAsia" w:ascii="Arial" w:hAnsi="新宋体" w:eastAsia="新宋体"/>
        </w:rPr>
        <w:t>。违约金不能代替赔偿损失。</w:t>
      </w:r>
    </w:p>
    <w:p w14:paraId="7B913346">
      <w:pPr>
        <w:spacing w:line="360" w:lineRule="auto"/>
        <w:ind w:firstLine="420" w:firstLineChars="200"/>
        <w:rPr>
          <w:rFonts w:hint="eastAsia" w:ascii="Arial" w:hAnsi="新宋体" w:eastAsia="新宋体"/>
        </w:rPr>
      </w:pPr>
      <w:r>
        <w:rPr>
          <w:rFonts w:hint="eastAsia" w:ascii="Arial" w:hAnsi="新宋体" w:eastAsia="新宋体"/>
        </w:rPr>
        <w:t>3、因乙方泄露</w:t>
      </w:r>
      <w:r>
        <w:rPr>
          <w:rFonts w:hint="eastAsia" w:ascii="Arial" w:hAnsi="新宋体" w:eastAsia="新宋体"/>
          <w:lang w:eastAsia="zh-CN"/>
        </w:rPr>
        <w:t>保密信息</w:t>
      </w:r>
      <w:r>
        <w:rPr>
          <w:rFonts w:hint="eastAsia" w:ascii="Arial" w:hAnsi="新宋体" w:eastAsia="新宋体"/>
          <w:lang w:val="en-US" w:eastAsia="zh-CN"/>
        </w:rPr>
        <w:t>给</w:t>
      </w:r>
      <w:r>
        <w:rPr>
          <w:rFonts w:hint="eastAsia" w:ascii="Arial" w:hAnsi="新宋体" w:eastAsia="新宋体"/>
        </w:rPr>
        <w:t>甲方造成严峻后果的，甲方</w:t>
      </w:r>
      <w:r>
        <w:rPr>
          <w:rFonts w:hint="eastAsia" w:ascii="Arial" w:hAnsi="新宋体" w:eastAsia="新宋体"/>
          <w:lang w:val="en-US" w:eastAsia="zh-CN"/>
        </w:rPr>
        <w:t>有权</w:t>
      </w:r>
      <w:r>
        <w:rPr>
          <w:rFonts w:hint="eastAsia" w:ascii="Arial" w:hAnsi="新宋体" w:eastAsia="新宋体"/>
        </w:rPr>
        <w:t>追究其</w:t>
      </w:r>
      <w:r>
        <w:rPr>
          <w:rFonts w:hint="eastAsia" w:ascii="Arial" w:hAnsi="新宋体" w:eastAsia="新宋体"/>
          <w:lang w:val="en-US" w:eastAsia="zh-CN"/>
        </w:rPr>
        <w:t>法律</w:t>
      </w:r>
      <w:r>
        <w:rPr>
          <w:rFonts w:hint="eastAsia" w:ascii="Arial" w:hAnsi="新宋体" w:eastAsia="新宋体"/>
        </w:rPr>
        <w:t>责任。</w:t>
      </w:r>
    </w:p>
    <w:p w14:paraId="0F54C179">
      <w:pPr>
        <w:keepNext w:val="0"/>
        <w:keepLines w:val="0"/>
        <w:pageBreakBefore w:val="0"/>
        <w:widowControl w:val="0"/>
        <w:kinsoku/>
        <w:wordWrap/>
        <w:overflowPunct/>
        <w:topLinePunct w:val="0"/>
        <w:autoSpaceDE/>
        <w:autoSpaceDN/>
        <w:bidi w:val="0"/>
        <w:adjustRightInd/>
        <w:snapToGrid/>
        <w:spacing w:before="0" w:beforeLines="50" w:line="360" w:lineRule="auto"/>
        <w:ind w:firstLine="420" w:firstLineChars="200"/>
        <w:textAlignment w:val="auto"/>
        <w:rPr>
          <w:rFonts w:hint="eastAsia" w:ascii="Arial" w:hAnsi="新宋体" w:eastAsia="新宋体" w:cs="Times New Roman"/>
          <w:lang w:val="en-US" w:eastAsia="zh-CN"/>
        </w:rPr>
      </w:pPr>
      <w:r>
        <w:rPr>
          <w:rFonts w:hint="eastAsia" w:ascii="Arial" w:hAnsi="新宋体" w:eastAsia="新宋体" w:cs="Times New Roman"/>
          <w:lang w:val="en-US" w:eastAsia="zh-CN"/>
        </w:rPr>
        <w:t>第五条 争议解决</w:t>
      </w:r>
    </w:p>
    <w:p w14:paraId="328A3D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4"/>
          <w:szCs w:val="24"/>
        </w:rPr>
      </w:pPr>
      <w:r>
        <w:rPr>
          <w:rFonts w:hint="eastAsia" w:ascii="Arial" w:hAnsi="Arial" w:eastAsia="新宋体"/>
        </w:rPr>
        <w:t>本协议适用于中华人民共和国法律法规的规定，并在所有方面依其进行解释。</w:t>
      </w:r>
      <w:r>
        <w:rPr>
          <w:rFonts w:hint="eastAsia" w:ascii="宋体" w:hAnsi="宋体" w:eastAsia="宋体" w:cs="宋体"/>
          <w:color w:val="auto"/>
          <w:sz w:val="24"/>
          <w:szCs w:val="24"/>
        </w:rPr>
        <w:t>因执行本协议而发生纠纷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由双方</w:t>
      </w:r>
      <w:r>
        <w:rPr>
          <w:rFonts w:hint="eastAsia" w:ascii="宋体" w:hAnsi="宋体" w:eastAsia="宋体" w:cs="宋体"/>
          <w:color w:val="auto"/>
          <w:sz w:val="24"/>
          <w:szCs w:val="24"/>
        </w:rPr>
        <w:t>协商解决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协商不成</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rPr>
        <w:t>甲方所在地人民法院</w:t>
      </w:r>
      <w:r>
        <w:rPr>
          <w:rFonts w:hint="eastAsia" w:ascii="宋体" w:hAnsi="宋体" w:eastAsia="宋体" w:cs="宋体"/>
          <w:color w:val="auto"/>
          <w:sz w:val="24"/>
          <w:szCs w:val="24"/>
          <w:lang w:val="en-US" w:eastAsia="zh-CN"/>
        </w:rPr>
        <w:t>管辖</w:t>
      </w:r>
      <w:r>
        <w:rPr>
          <w:rFonts w:hint="eastAsia" w:ascii="宋体" w:hAnsi="宋体" w:eastAsia="宋体" w:cs="宋体"/>
          <w:color w:val="auto"/>
          <w:sz w:val="24"/>
          <w:szCs w:val="24"/>
        </w:rPr>
        <w:t>。</w:t>
      </w:r>
    </w:p>
    <w:p w14:paraId="56046C3C">
      <w:pPr>
        <w:spacing w:before="0" w:beforeLines="0" w:line="360" w:lineRule="auto"/>
        <w:ind w:firstLine="420" w:firstLineChars="200"/>
        <w:rPr>
          <w:rFonts w:ascii="Arial" w:hAnsi="Arial" w:eastAsia="新宋体"/>
        </w:rPr>
      </w:pPr>
      <w:r>
        <w:rPr>
          <w:rFonts w:ascii="Arial" w:hAnsi="新宋体" w:eastAsia="新宋体"/>
        </w:rPr>
        <w:t>第</w:t>
      </w:r>
      <w:r>
        <w:rPr>
          <w:rFonts w:hint="eastAsia" w:ascii="Arial" w:hAnsi="Arial" w:eastAsia="新宋体"/>
          <w:lang w:val="en-US" w:eastAsia="zh-CN"/>
        </w:rPr>
        <w:t>六</w:t>
      </w:r>
      <w:r>
        <w:rPr>
          <w:rFonts w:ascii="Arial" w:hAnsi="新宋体" w:eastAsia="新宋体"/>
        </w:rPr>
        <w:t>条</w:t>
      </w:r>
      <w:r>
        <w:rPr>
          <w:rFonts w:ascii="Arial" w:hAnsi="Arial" w:eastAsia="新宋体"/>
        </w:rPr>
        <w:t xml:space="preserve"> </w:t>
      </w:r>
      <w:r>
        <w:rPr>
          <w:rFonts w:ascii="Arial" w:hAnsi="新宋体" w:eastAsia="新宋体"/>
        </w:rPr>
        <w:t>其他</w:t>
      </w:r>
    </w:p>
    <w:p w14:paraId="0105342C">
      <w:pPr>
        <w:spacing w:line="360" w:lineRule="auto"/>
        <w:ind w:firstLine="420" w:firstLineChars="200"/>
        <w:rPr>
          <w:rFonts w:ascii="Arial" w:hAnsi="Arial" w:eastAsia="新宋体"/>
        </w:rPr>
      </w:pPr>
      <w:r>
        <w:rPr>
          <w:rFonts w:hint="eastAsia" w:ascii="Arial" w:hAnsi="Arial" w:eastAsia="新宋体"/>
        </w:rPr>
        <w:t>1、</w:t>
      </w:r>
      <w:r>
        <w:rPr>
          <w:rFonts w:ascii="Arial" w:hAnsi="Arial" w:eastAsia="新宋体"/>
        </w:rPr>
        <w:t>本协议中标题仅为阅读方便，不影响本协议中任何规定的含义或解释。</w:t>
      </w:r>
    </w:p>
    <w:p w14:paraId="016DA354">
      <w:pPr>
        <w:spacing w:line="360" w:lineRule="auto"/>
        <w:ind w:firstLine="420" w:firstLineChars="200"/>
        <w:rPr>
          <w:rFonts w:ascii="Arial" w:hAnsi="Arial" w:eastAsia="新宋体"/>
        </w:rPr>
      </w:pPr>
      <w:r>
        <w:rPr>
          <w:rFonts w:hint="eastAsia" w:ascii="Arial" w:hAnsi="Arial" w:eastAsia="新宋体"/>
          <w:lang w:val="en-US" w:eastAsia="zh-CN"/>
        </w:rPr>
        <w:t>2、</w:t>
      </w:r>
      <w:r>
        <w:rPr>
          <w:rFonts w:hint="eastAsia" w:ascii="Arial" w:hAnsi="Arial" w:eastAsia="新宋体"/>
        </w:rPr>
        <w:t>在签署本协议前，</w:t>
      </w:r>
      <w:r>
        <w:rPr>
          <w:rFonts w:hint="eastAsia" w:ascii="Arial" w:hAnsi="Arial" w:eastAsia="新宋体"/>
          <w:lang w:eastAsia="zh-CN"/>
        </w:rPr>
        <w:t>双方</w:t>
      </w:r>
      <w:r>
        <w:rPr>
          <w:rFonts w:hint="eastAsia" w:ascii="Arial" w:hAnsi="Arial" w:eastAsia="新宋体"/>
        </w:rPr>
        <w:t>已经详细审阅了协议的内容，并完全明白的协议各条款的法律含义。</w:t>
      </w:r>
    </w:p>
    <w:p w14:paraId="7BE00108">
      <w:pPr>
        <w:spacing w:line="360" w:lineRule="auto"/>
        <w:ind w:firstLine="420" w:firstLineChars="200"/>
        <w:rPr>
          <w:rFonts w:ascii="Arial" w:hAnsi="Arial" w:eastAsia="新宋体"/>
        </w:rPr>
      </w:pPr>
      <w:r>
        <w:rPr>
          <w:rFonts w:hint="eastAsia" w:ascii="Arial" w:hAnsi="Arial" w:eastAsia="新宋体"/>
          <w:lang w:val="en-US" w:eastAsia="zh-CN"/>
        </w:rPr>
        <w:t>3</w:t>
      </w:r>
      <w:r>
        <w:rPr>
          <w:rFonts w:hint="eastAsia" w:ascii="Arial" w:hAnsi="Arial" w:eastAsia="新宋体"/>
        </w:rPr>
        <w:t>、</w:t>
      </w:r>
      <w:r>
        <w:rPr>
          <w:rFonts w:ascii="Arial" w:hAnsi="Arial" w:eastAsia="新宋体"/>
        </w:rPr>
        <w:t>本协议对</w:t>
      </w:r>
      <w:r>
        <w:rPr>
          <w:rFonts w:hint="eastAsia" w:ascii="Arial" w:hAnsi="Arial" w:eastAsia="新宋体"/>
        </w:rPr>
        <w:t>双</w:t>
      </w:r>
      <w:r>
        <w:rPr>
          <w:rFonts w:ascii="Arial" w:hAnsi="Arial" w:eastAsia="新宋体"/>
        </w:rPr>
        <w:t>方及其权利义务继承人均有约束力，对本协议的任何修改或者变更应由</w:t>
      </w:r>
      <w:r>
        <w:rPr>
          <w:rFonts w:hint="eastAsia" w:ascii="Arial" w:hAnsi="Arial" w:eastAsia="新宋体"/>
        </w:rPr>
        <w:t>双</w:t>
      </w:r>
      <w:r>
        <w:rPr>
          <w:rFonts w:ascii="Arial" w:hAnsi="Arial" w:eastAsia="新宋体"/>
        </w:rPr>
        <w:t>方以书面方式进行。</w:t>
      </w:r>
      <w:r>
        <w:rPr>
          <w:rFonts w:hint="eastAsia" w:ascii="Arial" w:hAnsi="Arial" w:eastAsia="新宋体"/>
        </w:rPr>
        <w:t>双</w:t>
      </w:r>
      <w:r>
        <w:rPr>
          <w:rFonts w:ascii="Arial" w:hAnsi="Arial" w:eastAsia="新宋体"/>
        </w:rPr>
        <w:t>方</w:t>
      </w:r>
      <w:r>
        <w:rPr>
          <w:rFonts w:hint="eastAsia" w:ascii="Arial" w:hAnsi="Arial" w:eastAsia="新宋体"/>
        </w:rPr>
        <w:t>就本协议未尽事宜经协商一致可签署补充协议，补充协议与本协议具有同等的法律效力。补充协议对本协议所涉及的事项进行调整或补充的，双</w:t>
      </w:r>
      <w:r>
        <w:rPr>
          <w:rFonts w:ascii="Arial" w:hAnsi="Arial" w:eastAsia="新宋体"/>
        </w:rPr>
        <w:t>方</w:t>
      </w:r>
      <w:r>
        <w:rPr>
          <w:rFonts w:hint="eastAsia" w:ascii="Arial" w:hAnsi="Arial" w:eastAsia="新宋体"/>
        </w:rPr>
        <w:t>以补充协议执行；补充协议未涉及事项，双</w:t>
      </w:r>
      <w:r>
        <w:rPr>
          <w:rFonts w:ascii="Arial" w:hAnsi="Arial" w:eastAsia="新宋体"/>
        </w:rPr>
        <w:t>方</w:t>
      </w:r>
      <w:r>
        <w:rPr>
          <w:rFonts w:hint="eastAsia" w:ascii="Arial" w:hAnsi="Arial" w:eastAsia="新宋体"/>
        </w:rPr>
        <w:t>按本协议执行。</w:t>
      </w:r>
    </w:p>
    <w:p w14:paraId="4CB2FBC0">
      <w:pPr>
        <w:spacing w:line="360" w:lineRule="auto"/>
        <w:ind w:firstLine="420" w:firstLineChars="200"/>
        <w:rPr>
          <w:rFonts w:ascii="Arial" w:hAnsi="Arial" w:eastAsia="新宋体"/>
        </w:rPr>
      </w:pPr>
      <w:r>
        <w:rPr>
          <w:rFonts w:hint="eastAsia" w:ascii="Arial" w:hAnsi="Arial" w:eastAsia="新宋体"/>
          <w:lang w:val="en-US" w:eastAsia="zh-CN"/>
        </w:rPr>
        <w:t>4</w:t>
      </w:r>
      <w:r>
        <w:rPr>
          <w:rFonts w:hint="eastAsia" w:ascii="Arial" w:hAnsi="Arial" w:eastAsia="新宋体"/>
        </w:rPr>
        <w:t>、</w:t>
      </w:r>
      <w:r>
        <w:rPr>
          <w:rFonts w:ascii="Arial" w:hAnsi="Arial" w:eastAsia="新宋体"/>
        </w:rPr>
        <w:t>未经</w:t>
      </w:r>
      <w:r>
        <w:rPr>
          <w:rFonts w:hint="eastAsia" w:ascii="Arial" w:hAnsi="Arial" w:eastAsia="新宋体"/>
        </w:rPr>
        <w:t>甲</w:t>
      </w:r>
      <w:r>
        <w:rPr>
          <w:rFonts w:ascii="Arial" w:hAnsi="Arial" w:eastAsia="新宋体"/>
        </w:rPr>
        <w:t>方书面同意，</w:t>
      </w:r>
      <w:r>
        <w:rPr>
          <w:rFonts w:hint="eastAsia" w:ascii="Arial" w:hAnsi="Arial" w:eastAsia="新宋体"/>
        </w:rPr>
        <w:t>乙方</w:t>
      </w:r>
      <w:r>
        <w:rPr>
          <w:rFonts w:ascii="Arial" w:hAnsi="Arial" w:eastAsia="新宋体"/>
        </w:rPr>
        <w:t>不得全部或部分转让其在本协议中的权利或义务。</w:t>
      </w:r>
    </w:p>
    <w:p w14:paraId="31AA9AF7">
      <w:pPr>
        <w:spacing w:line="360" w:lineRule="auto"/>
        <w:ind w:firstLine="420" w:firstLineChars="200"/>
        <w:rPr>
          <w:rFonts w:ascii="Arial" w:hAnsi="Arial" w:eastAsia="新宋体"/>
        </w:rPr>
      </w:pPr>
      <w:r>
        <w:rPr>
          <w:rFonts w:hint="eastAsia" w:ascii="Arial" w:hAnsi="Arial" w:eastAsia="新宋体"/>
          <w:lang w:val="en-US" w:eastAsia="zh-CN"/>
        </w:rPr>
        <w:t>5</w:t>
      </w:r>
      <w:r>
        <w:rPr>
          <w:rFonts w:hint="eastAsia" w:ascii="Arial" w:hAnsi="Arial" w:eastAsia="新宋体"/>
        </w:rPr>
        <w:t>、</w:t>
      </w:r>
      <w:r>
        <w:rPr>
          <w:rFonts w:ascii="Arial" w:hAnsi="Arial" w:eastAsia="新宋体"/>
        </w:rPr>
        <w:t>本协议中如有任何条款</w:t>
      </w:r>
      <w:r>
        <w:rPr>
          <w:rFonts w:hint="eastAsia" w:ascii="Arial" w:hAnsi="Arial" w:eastAsia="新宋体"/>
        </w:rPr>
        <w:t>被认定为</w:t>
      </w:r>
      <w:r>
        <w:rPr>
          <w:rFonts w:ascii="Arial" w:hAnsi="Arial" w:eastAsia="新宋体"/>
        </w:rPr>
        <w:t>不合法、无效或不可执行的，则本协议的其它条款仍应完全有效。</w:t>
      </w:r>
    </w:p>
    <w:p w14:paraId="76F10489">
      <w:pPr>
        <w:spacing w:line="360" w:lineRule="auto"/>
        <w:ind w:firstLine="420" w:firstLineChars="200"/>
        <w:rPr>
          <w:rFonts w:ascii="Arial" w:hAnsi="Arial" w:eastAsia="新宋体"/>
        </w:rPr>
      </w:pPr>
      <w:r>
        <w:rPr>
          <w:rFonts w:hint="eastAsia" w:ascii="Arial" w:hAnsi="Arial" w:eastAsia="新宋体"/>
          <w:lang w:val="en-US" w:eastAsia="zh-CN"/>
        </w:rPr>
        <w:t>6</w:t>
      </w:r>
      <w:r>
        <w:rPr>
          <w:rFonts w:hint="eastAsia" w:ascii="Arial" w:hAnsi="Arial" w:eastAsia="新宋体"/>
        </w:rPr>
        <w:t>、</w:t>
      </w:r>
      <w:r>
        <w:rPr>
          <w:rFonts w:ascii="Arial" w:hAnsi="Arial" w:eastAsia="新宋体"/>
        </w:rPr>
        <w:t>任何一方没有或延迟行使本协议项下的任何权利或救济不构成对该权利或救济的放弃，任何权利或救济的放弃必须以书面形式做出。</w:t>
      </w:r>
    </w:p>
    <w:p w14:paraId="62FB33E7">
      <w:pPr>
        <w:spacing w:line="360" w:lineRule="auto"/>
        <w:ind w:firstLine="420" w:firstLineChars="200"/>
        <w:rPr>
          <w:rFonts w:hint="eastAsia" w:ascii="Arial" w:hAnsi="Arial" w:eastAsia="新宋体"/>
        </w:rPr>
      </w:pPr>
      <w:r>
        <w:rPr>
          <w:rFonts w:hint="eastAsia" w:ascii="Arial" w:hAnsi="Arial" w:eastAsia="新宋体"/>
          <w:lang w:val="en-US" w:eastAsia="zh-CN"/>
        </w:rPr>
        <w:t>7</w:t>
      </w:r>
      <w:r>
        <w:rPr>
          <w:rFonts w:hint="eastAsia" w:ascii="Arial" w:hAnsi="Arial" w:eastAsia="新宋体"/>
        </w:rPr>
        <w:t>、本协议</w:t>
      </w:r>
      <w:r>
        <w:rPr>
          <w:rFonts w:hint="eastAsia" w:ascii="Arial" w:hAnsi="Arial" w:eastAsia="新宋体"/>
          <w:lang w:val="en-US" w:eastAsia="zh-CN"/>
        </w:rPr>
        <w:t>自双方盖章</w:t>
      </w:r>
      <w:r>
        <w:rPr>
          <w:rFonts w:hint="eastAsia" w:ascii="Arial" w:hAnsi="Arial" w:eastAsia="新宋体"/>
        </w:rPr>
        <w:t>之日起生效</w:t>
      </w:r>
      <w:r>
        <w:rPr>
          <w:rFonts w:hint="eastAsia" w:ascii="Arial" w:hAnsi="Arial" w:eastAsia="新宋体"/>
          <w:lang w:eastAsia="zh-CN"/>
        </w:rPr>
        <w:t>，</w:t>
      </w:r>
      <w:r>
        <w:rPr>
          <w:rFonts w:hint="eastAsia" w:ascii="Arial" w:hAnsi="Arial" w:eastAsia="新宋体"/>
          <w:lang w:val="en-US" w:eastAsia="zh-CN"/>
        </w:rPr>
        <w:t>一式贰份</w:t>
      </w:r>
      <w:r>
        <w:rPr>
          <w:rFonts w:ascii="Arial" w:hAnsi="Arial" w:eastAsia="新宋体"/>
        </w:rPr>
        <w:t>，</w:t>
      </w:r>
      <w:r>
        <w:rPr>
          <w:rFonts w:hint="eastAsia" w:ascii="Arial" w:hAnsi="Arial" w:eastAsia="新宋体"/>
        </w:rPr>
        <w:t>双</w:t>
      </w:r>
      <w:r>
        <w:rPr>
          <w:rFonts w:ascii="Arial" w:hAnsi="Arial" w:eastAsia="新宋体"/>
        </w:rPr>
        <w:t>方各执</w:t>
      </w:r>
      <w:r>
        <w:rPr>
          <w:rFonts w:hint="eastAsia" w:ascii="Arial" w:hAnsi="Arial" w:eastAsia="新宋体"/>
          <w:lang w:val="en-US" w:eastAsia="zh-CN"/>
        </w:rPr>
        <w:t>壹</w:t>
      </w:r>
      <w:r>
        <w:rPr>
          <w:rFonts w:ascii="Arial" w:hAnsi="Arial" w:eastAsia="新宋体"/>
        </w:rPr>
        <w:t>份</w:t>
      </w:r>
      <w:r>
        <w:rPr>
          <w:rFonts w:hint="eastAsia" w:ascii="Arial" w:hAnsi="Arial" w:eastAsia="新宋体"/>
        </w:rPr>
        <w:t>，</w:t>
      </w:r>
      <w:r>
        <w:rPr>
          <w:rFonts w:ascii="Arial" w:hAnsi="Arial" w:eastAsia="新宋体"/>
        </w:rPr>
        <w:t>具有同等法律效力。</w:t>
      </w:r>
    </w:p>
    <w:p w14:paraId="25E5344C">
      <w:pPr>
        <w:spacing w:line="360" w:lineRule="auto"/>
        <w:ind w:right="420"/>
        <w:rPr>
          <w:rFonts w:ascii="Arial" w:hAnsi="新宋体" w:eastAsia="新宋体"/>
        </w:rPr>
      </w:pPr>
    </w:p>
    <w:p w14:paraId="6307AA84">
      <w:pPr>
        <w:spacing w:line="360" w:lineRule="auto"/>
        <w:ind w:right="420"/>
        <w:rPr>
          <w:rFonts w:ascii="Arial" w:hAnsi="新宋体" w:eastAsia="新宋体"/>
        </w:rPr>
      </w:pPr>
    </w:p>
    <w:p w14:paraId="2A9325FD">
      <w:pPr>
        <w:keepNext w:val="0"/>
        <w:keepLines w:val="0"/>
        <w:pageBreakBefore w:val="0"/>
        <w:widowControl w:val="0"/>
        <w:kinsoku/>
        <w:wordWrap/>
        <w:overflowPunct/>
        <w:topLinePunct w:val="0"/>
        <w:autoSpaceDE/>
        <w:autoSpaceDN/>
        <w:bidi w:val="0"/>
        <w:adjustRightInd/>
        <w:snapToGrid/>
        <w:spacing w:line="360" w:lineRule="auto"/>
        <w:ind w:right="420" w:firstLine="420" w:firstLineChars="200"/>
        <w:textAlignment w:val="auto"/>
        <w:rPr>
          <w:rFonts w:hint="default" w:ascii="Arial" w:hAnsi="新宋体" w:eastAsia="新宋体"/>
          <w:lang w:val="en-US" w:eastAsia="zh-CN"/>
        </w:rPr>
      </w:pPr>
      <w:r>
        <w:rPr>
          <w:rFonts w:hint="eastAsia" w:ascii="Arial" w:hAnsi="新宋体" w:eastAsia="新宋体"/>
          <w:lang w:eastAsia="zh-CN"/>
        </w:rPr>
        <w:br w:type="page"/>
      </w:r>
      <w:r>
        <w:rPr>
          <w:rFonts w:hint="eastAsia" w:ascii="Arial" w:hAnsi="新宋体" w:eastAsia="新宋体"/>
          <w:lang w:eastAsia="zh-CN"/>
        </w:rPr>
        <w:t>（</w:t>
      </w:r>
      <w:r>
        <w:rPr>
          <w:rFonts w:hint="eastAsia" w:ascii="Arial" w:hAnsi="新宋体" w:eastAsia="新宋体"/>
          <w:lang w:val="en-US" w:eastAsia="zh-CN"/>
        </w:rPr>
        <w:t>本页无正文）</w:t>
      </w:r>
    </w:p>
    <w:p w14:paraId="12C2ABC4">
      <w:pPr>
        <w:spacing w:line="360" w:lineRule="auto"/>
        <w:ind w:right="420"/>
        <w:rPr>
          <w:rFonts w:ascii="Arial" w:hAnsi="新宋体" w:eastAsia="新宋体"/>
        </w:rPr>
      </w:pPr>
    </w:p>
    <w:p w14:paraId="7E523466">
      <w:pPr>
        <w:spacing w:line="360" w:lineRule="auto"/>
        <w:ind w:right="420"/>
        <w:rPr>
          <w:rFonts w:ascii="Arial" w:hAnsi="新宋体" w:eastAsia="新宋体"/>
        </w:rPr>
      </w:pPr>
    </w:p>
    <w:p w14:paraId="6EE87D35">
      <w:pPr>
        <w:spacing w:line="360" w:lineRule="auto"/>
        <w:ind w:right="420"/>
        <w:rPr>
          <w:rFonts w:ascii="Arial" w:hAnsi="新宋体" w:eastAsia="新宋体"/>
        </w:rPr>
      </w:pPr>
    </w:p>
    <w:p w14:paraId="0FC5B226">
      <w:pPr>
        <w:spacing w:line="360" w:lineRule="auto"/>
        <w:ind w:right="420" w:firstLine="210" w:firstLineChars="100"/>
        <w:rPr>
          <w:rFonts w:hint="eastAsia" w:ascii="Arial" w:hAnsi="Arial" w:eastAsia="新宋体"/>
          <w:lang w:val="en-US" w:eastAsia="zh-CN"/>
        </w:rPr>
      </w:pPr>
      <w:r>
        <w:rPr>
          <w:rFonts w:ascii="Arial" w:hAnsi="新宋体" w:eastAsia="新宋体"/>
        </w:rPr>
        <w:t>甲方：</w:t>
      </w:r>
      <w:r>
        <w:rPr>
          <w:rFonts w:hint="eastAsia" w:ascii="宋体" w:hAnsi="宋体" w:eastAsia="宋体" w:cs="宋体"/>
          <w:sz w:val="21"/>
          <w:szCs w:val="21"/>
          <w:lang w:val="en-US" w:eastAsia="zh-CN"/>
        </w:rPr>
        <w:t>中机（泉州）精密装备有限公司</w:t>
      </w:r>
      <w:r>
        <w:rPr>
          <w:rFonts w:ascii="Arial" w:hAnsi="新宋体" w:eastAsia="新宋体"/>
        </w:rPr>
        <w:t xml:space="preserve"> </w:t>
      </w:r>
      <w:r>
        <w:rPr>
          <w:rFonts w:hint="eastAsia" w:hAnsi="新宋体" w:eastAsia="新宋体"/>
          <w:lang w:val="en-US" w:eastAsia="zh-CN"/>
        </w:rPr>
        <w:t xml:space="preserve">             </w:t>
      </w:r>
      <w:r>
        <w:rPr>
          <w:rFonts w:hint="eastAsia" w:ascii="Arial" w:hAnsi="新宋体" w:eastAsia="新宋体"/>
        </w:rPr>
        <w:t>乙方：</w:t>
      </w:r>
      <w:r>
        <w:rPr>
          <w:rFonts w:hint="eastAsia" w:ascii="Arial" w:hAnsi="新宋体" w:eastAsia="新宋体"/>
          <w:lang w:val="en-US" w:eastAsia="zh-CN"/>
        </w:rPr>
        <w:t xml:space="preserve"> </w:t>
      </w:r>
    </w:p>
    <w:p w14:paraId="5BD2ABF2">
      <w:pPr>
        <w:spacing w:line="360" w:lineRule="auto"/>
        <w:ind w:right="960"/>
        <w:jc w:val="left"/>
        <w:rPr>
          <w:rFonts w:ascii="Arial" w:hAnsi="新宋体" w:eastAsia="新宋体"/>
        </w:rPr>
      </w:pPr>
    </w:p>
    <w:p w14:paraId="5D2131B3">
      <w:pPr>
        <w:spacing w:line="360" w:lineRule="auto"/>
        <w:ind w:right="960"/>
        <w:jc w:val="left"/>
        <w:rPr>
          <w:rFonts w:hint="eastAsia" w:ascii="Arial" w:hAnsi="新宋体" w:eastAsia="新宋体"/>
          <w:lang w:val="en-US" w:eastAsia="zh-CN"/>
        </w:rPr>
      </w:pPr>
      <w:r>
        <w:rPr>
          <w:rFonts w:hint="eastAsia" w:ascii="Arial" w:hAnsi="新宋体" w:eastAsia="新宋体"/>
          <w:lang w:val="en-US" w:eastAsia="zh-CN"/>
        </w:rPr>
        <w:t xml:space="preserve"> </w:t>
      </w:r>
    </w:p>
    <w:p w14:paraId="182D4C29">
      <w:pPr>
        <w:spacing w:line="360" w:lineRule="auto"/>
        <w:ind w:right="960" w:firstLine="210" w:firstLineChars="100"/>
        <w:jc w:val="left"/>
        <w:rPr>
          <w:rFonts w:hint="eastAsia" w:ascii="Arial" w:hAnsi="Arial" w:eastAsia="新宋体"/>
        </w:rPr>
      </w:pPr>
      <w:r>
        <w:rPr>
          <w:rFonts w:hint="eastAsia" w:ascii="Arial" w:hAnsi="新宋体" w:eastAsia="新宋体"/>
          <w:lang w:val="en-US" w:eastAsia="zh-CN"/>
        </w:rPr>
        <w:t>委托代理人</w:t>
      </w:r>
      <w:r>
        <w:rPr>
          <w:rFonts w:ascii="Arial" w:hAnsi="新宋体" w:eastAsia="新宋体"/>
        </w:rPr>
        <w:t>：</w:t>
      </w:r>
      <w:r>
        <w:rPr>
          <w:rFonts w:ascii="Arial" w:hAnsi="Arial" w:eastAsia="新宋体"/>
        </w:rPr>
        <w:t xml:space="preserve">                      </w:t>
      </w:r>
      <w:r>
        <w:rPr>
          <w:rFonts w:hint="eastAsia" w:ascii="Arial" w:hAnsi="Arial" w:eastAsia="新宋体"/>
          <w:lang w:val="en-US" w:eastAsia="zh-CN"/>
        </w:rPr>
        <w:t xml:space="preserve">              </w:t>
      </w:r>
      <w:r>
        <w:rPr>
          <w:rFonts w:hint="eastAsia" w:ascii="Arial" w:hAnsi="新宋体" w:eastAsia="新宋体"/>
          <w:lang w:val="en-US" w:eastAsia="zh-CN"/>
        </w:rPr>
        <w:t>负责人</w:t>
      </w:r>
      <w:r>
        <w:rPr>
          <w:rFonts w:ascii="Arial" w:hAnsi="新宋体" w:eastAsia="新宋体"/>
        </w:rPr>
        <w:t>：</w:t>
      </w:r>
    </w:p>
    <w:p w14:paraId="139A68E7">
      <w:pPr>
        <w:spacing w:line="360" w:lineRule="auto"/>
        <w:ind w:right="1140"/>
        <w:rPr>
          <w:rFonts w:hint="eastAsia" w:ascii="Arial" w:hAnsi="新宋体" w:eastAsia="新宋体"/>
        </w:rPr>
      </w:pPr>
    </w:p>
    <w:p w14:paraId="303E8624">
      <w:pPr>
        <w:spacing w:line="360" w:lineRule="auto"/>
        <w:rPr>
          <w:rFonts w:ascii="Arial" w:hAnsi="新宋体" w:eastAsia="新宋体"/>
        </w:rPr>
      </w:pPr>
    </w:p>
    <w:p w14:paraId="6D533625">
      <w:pPr>
        <w:spacing w:line="360" w:lineRule="auto"/>
        <w:ind w:firstLine="210" w:firstLineChars="100"/>
        <w:rPr>
          <w:rFonts w:hint="eastAsia" w:ascii="Arial" w:hAnsi="Arial" w:eastAsia="新宋体"/>
        </w:rPr>
      </w:pPr>
      <w:r>
        <w:rPr>
          <w:rFonts w:ascii="Arial" w:hAnsi="新宋体" w:eastAsia="新宋体"/>
        </w:rPr>
        <w:t>签署日期：</w:t>
      </w:r>
      <w:r>
        <w:rPr>
          <w:rFonts w:hint="eastAsia" w:ascii="Arial" w:hAnsi="Arial" w:eastAsia="新宋体"/>
          <w:lang w:val="en-US" w:eastAsia="zh-CN"/>
        </w:rPr>
        <w:t xml:space="preserve">                 </w:t>
      </w:r>
      <w:r>
        <w:rPr>
          <w:rFonts w:ascii="Arial" w:hAnsi="Arial" w:eastAsia="新宋体"/>
        </w:rPr>
        <w:t xml:space="preserve">  </w:t>
      </w:r>
      <w:r>
        <w:rPr>
          <w:rFonts w:hint="eastAsia" w:ascii="Arial" w:hAnsi="Arial" w:eastAsia="新宋体"/>
        </w:rPr>
        <w:t xml:space="preserve"> </w:t>
      </w:r>
      <w:r>
        <w:rPr>
          <w:rFonts w:ascii="Arial" w:hAnsi="Arial" w:eastAsia="新宋体"/>
        </w:rPr>
        <w:t xml:space="preserve">       </w:t>
      </w:r>
      <w:r>
        <w:rPr>
          <w:rFonts w:hint="eastAsia" w:ascii="Arial" w:hAnsi="Arial" w:eastAsia="新宋体"/>
          <w:lang w:val="en-US" w:eastAsia="zh-CN"/>
        </w:rPr>
        <w:t xml:space="preserve">           </w:t>
      </w:r>
      <w:r>
        <w:rPr>
          <w:rFonts w:ascii="Arial" w:hAnsi="新宋体" w:eastAsia="新宋体"/>
        </w:rPr>
        <w:t>签署日期：</w:t>
      </w:r>
    </w:p>
    <w:p w14:paraId="179A0441">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97CF098">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222C403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0376EC48">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304A5BF">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575C2942">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22201E3">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D421EC2">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9D62EF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49A8E64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七、采购合同（模版）</w:t>
      </w:r>
      <w:bookmarkEnd w:id="94"/>
      <w:bookmarkEnd w:id="95"/>
      <w:bookmarkEnd w:id="96"/>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宋体" w:hAnsi="宋体" w:eastAsia="宋体" w:cs="宋体"/>
          <w:sz w:val="21"/>
          <w:szCs w:val="21"/>
          <w:lang w:val="en-US" w:eastAsia="zh-CN"/>
        </w:rPr>
        <w:t>中机（泉州）精密装备有限公司</w:t>
      </w:r>
      <w:r>
        <w:rPr>
          <w:rFonts w:ascii="Arial" w:hAnsi="新宋体" w:eastAsia="新宋体"/>
        </w:rPr>
        <w:t xml:space="preserve"> </w:t>
      </w:r>
      <w:r>
        <w:rPr>
          <w:rFonts w:hint="eastAsia" w:ascii="仿宋" w:hAnsi="仿宋" w:eastAsia="仿宋" w:cs="仿宋"/>
          <w:sz w:val="24"/>
          <w:szCs w:val="24"/>
        </w:rPr>
        <w:t xml:space="preserve">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3"/>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97" w:name="_Toc8403"/>
      <w:bookmarkStart w:id="98" w:name="_Toc9911"/>
      <w:bookmarkStart w:id="99" w:name="_Toc23327"/>
      <w:bookmarkStart w:id="100" w:name="_Toc26450"/>
      <w:bookmarkStart w:id="101" w:name="_Toc23106"/>
      <w:r>
        <w:rPr>
          <w:rFonts w:hint="eastAsia" w:ascii="仿宋" w:hAnsi="仿宋" w:eastAsia="仿宋" w:cs="仿宋"/>
          <w:sz w:val="24"/>
          <w:szCs w:val="24"/>
        </w:rPr>
        <w:t>《中华人民共和国民法典》，并经甲乙双方友好协商，就以下事项达成一致并签订本合同：</w:t>
      </w:r>
      <w:bookmarkEnd w:id="97"/>
      <w:bookmarkEnd w:id="98"/>
      <w:bookmarkEnd w:id="99"/>
      <w:bookmarkEnd w:id="100"/>
      <w:bookmarkEnd w:id="101"/>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2" w:name="_Toc4585"/>
      <w:bookmarkStart w:id="103" w:name="_Toc10341"/>
      <w:bookmarkStart w:id="104" w:name="_Toc13700"/>
      <w:bookmarkStart w:id="105" w:name="_Toc2497"/>
      <w:bookmarkStart w:id="106" w:name="_Toc16223"/>
      <w:r>
        <w:rPr>
          <w:rFonts w:hint="eastAsia" w:ascii="仿宋" w:hAnsi="仿宋" w:eastAsia="仿宋" w:cs="仿宋"/>
          <w:sz w:val="24"/>
          <w:szCs w:val="24"/>
        </w:rPr>
        <w:t>一、品种、型号、数量</w:t>
      </w:r>
      <w:bookmarkEnd w:id="102"/>
      <w:bookmarkEnd w:id="103"/>
      <w:bookmarkEnd w:id="104"/>
      <w:bookmarkEnd w:id="105"/>
      <w:bookmarkEnd w:id="106"/>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7"/>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07" w:name="_Toc27460"/>
      <w:bookmarkStart w:id="108" w:name="_Toc14603"/>
      <w:bookmarkStart w:id="109" w:name="_Toc11962"/>
      <w:bookmarkStart w:id="110" w:name="_Toc3439"/>
      <w:bookmarkStart w:id="111" w:name="_Toc31312"/>
      <w:r>
        <w:rPr>
          <w:rFonts w:hint="eastAsia" w:ascii="仿宋" w:hAnsi="仿宋" w:eastAsia="仿宋" w:cs="仿宋"/>
          <w:kern w:val="0"/>
          <w:sz w:val="24"/>
          <w:szCs w:val="24"/>
          <w:lang w:val="zh-CN"/>
        </w:rPr>
        <w:t>三、交货方式、交货地点、履行地点、接收单位：</w:t>
      </w:r>
      <w:bookmarkEnd w:id="107"/>
      <w:bookmarkEnd w:id="108"/>
      <w:bookmarkEnd w:id="109"/>
      <w:bookmarkEnd w:id="110"/>
      <w:bookmarkEnd w:id="111"/>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2" w:name="_Toc905"/>
      <w:bookmarkStart w:id="113" w:name="_Toc9492"/>
      <w:bookmarkStart w:id="114" w:name="_Toc27088"/>
      <w:bookmarkStart w:id="115" w:name="_Toc25410"/>
      <w:bookmarkStart w:id="116" w:name="_Toc1247"/>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2"/>
      <w:bookmarkEnd w:id="113"/>
      <w:bookmarkEnd w:id="114"/>
      <w:bookmarkEnd w:id="115"/>
      <w:bookmarkEnd w:id="116"/>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17" w:name="_Toc4452"/>
      <w:bookmarkStart w:id="118" w:name="_Toc15806"/>
      <w:bookmarkStart w:id="119" w:name="_Toc14045"/>
      <w:bookmarkStart w:id="120" w:name="_Toc25848"/>
      <w:bookmarkStart w:id="121" w:name="_Toc12507"/>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17"/>
      <w:bookmarkEnd w:id="118"/>
      <w:bookmarkEnd w:id="119"/>
      <w:bookmarkEnd w:id="120"/>
      <w:bookmarkEnd w:id="121"/>
    </w:p>
    <w:p w14:paraId="7A4F212B">
      <w:pPr>
        <w:pStyle w:val="16"/>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16"/>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预付合同30%订金，当车货到、票到7个工作日内支付当车尾款。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2" w:name="_Toc9235"/>
      <w:bookmarkStart w:id="123" w:name="_Toc28559"/>
      <w:bookmarkStart w:id="124" w:name="_Toc335"/>
      <w:bookmarkStart w:id="125" w:name="_Toc16798"/>
      <w:bookmarkStart w:id="126" w:name="_Toc28267"/>
      <w:r>
        <w:rPr>
          <w:rFonts w:hint="eastAsia" w:ascii="仿宋" w:hAnsi="仿宋" w:eastAsia="仿宋" w:cs="仿宋"/>
          <w:kern w:val="0"/>
          <w:sz w:val="24"/>
          <w:szCs w:val="24"/>
          <w:lang w:val="zh-CN"/>
        </w:rPr>
        <w:t>八、质量保证期：</w:t>
      </w:r>
      <w:bookmarkEnd w:id="122"/>
      <w:bookmarkEnd w:id="123"/>
      <w:bookmarkEnd w:id="124"/>
      <w:bookmarkEnd w:id="125"/>
      <w:bookmarkEnd w:id="126"/>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7" w:name="_Toc19014"/>
      <w:bookmarkStart w:id="128" w:name="_Toc19007"/>
      <w:bookmarkStart w:id="129" w:name="_Toc4244"/>
      <w:bookmarkStart w:id="130" w:name="_Toc13737"/>
      <w:bookmarkStart w:id="131" w:name="_Toc23506"/>
      <w:r>
        <w:rPr>
          <w:rFonts w:hint="eastAsia" w:ascii="仿宋" w:hAnsi="仿宋" w:eastAsia="仿宋" w:cs="仿宋"/>
          <w:kern w:val="0"/>
          <w:sz w:val="24"/>
          <w:szCs w:val="24"/>
          <w:lang w:val="zh-CN"/>
        </w:rPr>
        <w:t>九、产品交接：</w:t>
      </w:r>
      <w:bookmarkEnd w:id="127"/>
      <w:bookmarkEnd w:id="128"/>
      <w:bookmarkEnd w:id="129"/>
      <w:bookmarkEnd w:id="130"/>
      <w:bookmarkEnd w:id="131"/>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2" w:name="_Toc12884"/>
      <w:bookmarkStart w:id="133" w:name="_Toc18658"/>
      <w:bookmarkStart w:id="134" w:name="_Toc26325"/>
      <w:bookmarkStart w:id="135" w:name="_Toc32091"/>
      <w:bookmarkStart w:id="136" w:name="_Toc16217"/>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2"/>
      <w:bookmarkEnd w:id="133"/>
      <w:bookmarkEnd w:id="134"/>
      <w:bookmarkEnd w:id="135"/>
      <w:bookmarkEnd w:id="136"/>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16"/>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7" w:name="_Toc13162"/>
      <w:bookmarkStart w:id="138" w:name="_Toc27259"/>
      <w:bookmarkStart w:id="139" w:name="_Toc1304"/>
      <w:bookmarkStart w:id="140" w:name="_Toc5658"/>
      <w:bookmarkStart w:id="141" w:name="_Toc10678"/>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37"/>
      <w:bookmarkEnd w:id="138"/>
      <w:bookmarkEnd w:id="139"/>
      <w:bookmarkEnd w:id="140"/>
      <w:bookmarkEnd w:id="141"/>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2" w:name="_Toc12356"/>
      <w:bookmarkStart w:id="143" w:name="_Toc8305"/>
      <w:bookmarkStart w:id="144" w:name="_Toc23293"/>
      <w:bookmarkStart w:id="145" w:name="_Toc18225"/>
      <w:bookmarkStart w:id="146" w:name="_Toc21446"/>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2"/>
      <w:bookmarkEnd w:id="143"/>
      <w:bookmarkEnd w:id="144"/>
      <w:bookmarkEnd w:id="145"/>
      <w:bookmarkEnd w:id="146"/>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7" w:name="_Toc8302"/>
      <w:bookmarkStart w:id="148" w:name="_Toc18123"/>
      <w:bookmarkStart w:id="149" w:name="_Toc27170"/>
      <w:bookmarkStart w:id="150" w:name="_Toc11998"/>
      <w:bookmarkStart w:id="151" w:name="_Toc22964"/>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47"/>
      <w:bookmarkEnd w:id="148"/>
      <w:bookmarkEnd w:id="149"/>
      <w:bookmarkEnd w:id="150"/>
      <w:bookmarkEnd w:id="151"/>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2" w:name="_Toc15574"/>
      <w:bookmarkStart w:id="153" w:name="_Toc19723"/>
      <w:bookmarkStart w:id="154" w:name="_Toc22793"/>
      <w:bookmarkStart w:id="155" w:name="_Toc4875"/>
      <w:bookmarkStart w:id="156"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2"/>
      <w:bookmarkEnd w:id="153"/>
      <w:bookmarkEnd w:id="154"/>
      <w:bookmarkEnd w:id="155"/>
      <w:bookmarkEnd w:id="156"/>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57" w:name="_Toc30433"/>
      <w:bookmarkStart w:id="158" w:name="_Toc15421"/>
      <w:bookmarkStart w:id="159" w:name="_Toc9618"/>
      <w:bookmarkStart w:id="160" w:name="_Toc6500"/>
      <w:bookmarkStart w:id="161" w:name="_Toc12487"/>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57"/>
      <w:bookmarkEnd w:id="158"/>
      <w:bookmarkEnd w:id="159"/>
      <w:bookmarkEnd w:id="160"/>
      <w:bookmarkEnd w:id="161"/>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2" w:name="_Toc6113"/>
      <w:bookmarkStart w:id="163" w:name="_Toc31672"/>
      <w:bookmarkStart w:id="164" w:name="_Toc12952"/>
      <w:bookmarkStart w:id="165" w:name="_Toc1878"/>
      <w:bookmarkStart w:id="166"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2"/>
      <w:bookmarkEnd w:id="163"/>
      <w:bookmarkEnd w:id="164"/>
      <w:bookmarkEnd w:id="165"/>
      <w:bookmarkEnd w:id="166"/>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16"/>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w:t>
            </w:r>
            <w:r>
              <w:rPr>
                <w:rFonts w:hint="eastAsia" w:ascii="仿宋" w:hAnsi="仿宋" w:eastAsia="仿宋" w:cs="仿宋"/>
                <w:sz w:val="21"/>
                <w:szCs w:val="21"/>
                <w:lang w:val="en-US" w:eastAsia="zh-CN"/>
              </w:rPr>
              <w:t>中机（泉州）精密装备有限公司</w:t>
            </w:r>
            <w:r>
              <w:rPr>
                <w:rFonts w:ascii="Arial" w:hAnsi="新宋体" w:eastAsia="新宋体"/>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地址：福建省泉州市洛江区福滨街1号2幢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电话：0595-28999882</w:t>
            </w:r>
            <w:r>
              <w:rPr>
                <w:rFonts w:ascii="仿宋" w:hAnsi="仿宋" w:eastAsia="仿宋" w:cs="仿宋"/>
                <w:sz w:val="24"/>
              </w:rPr>
              <w:t xml:space="preserve"> </w:t>
            </w:r>
          </w:p>
          <w:p w14:paraId="26D4D10E">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开户银行：中国建设银行泉州洛江支行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银行帐号：35050165690709668888 </w:t>
            </w:r>
            <w:r>
              <w:rPr>
                <w:rFonts w:ascii="仿宋" w:hAnsi="仿宋" w:eastAsia="仿宋" w:cs="仿宋"/>
                <w:sz w:val="24"/>
              </w:rPr>
              <w:t xml:space="preserve"> </w:t>
            </w:r>
          </w:p>
          <w:p w14:paraId="0BE68B93">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w:t>
            </w:r>
            <w:r>
              <w:rPr>
                <w:rFonts w:hint="eastAsia" w:ascii="仿宋" w:hAnsi="仿宋" w:eastAsia="仿宋" w:cs="仿宋"/>
                <w:lang w:eastAsia="zh-CN"/>
              </w:rPr>
              <w:t>：</w:t>
            </w:r>
            <w:r>
              <w:rPr>
                <w:rFonts w:hint="eastAsia" w:ascii="仿宋" w:hAnsi="仿宋" w:eastAsia="仿宋" w:cs="仿宋"/>
              </w:rPr>
              <w:t>105397000359</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8"/>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16"/>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2CC2EBEB">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headerReference r:id="rId7" w:type="default"/>
      <w:footerReference r:id="rId8" w:type="default"/>
      <w:pgSz w:w="11905" w:h="16838"/>
      <w:pgMar w:top="1440" w:right="1080" w:bottom="1440" w:left="1080" w:header="851" w:footer="1020"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NDFhNmMxYjEwMjdiMDI1MmYzN2Y2MGM4MWFjNDUifQ=="/>
  </w:docVars>
  <w:rsids>
    <w:rsidRoot w:val="00172A27"/>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3E8E"/>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9619E7"/>
    <w:rsid w:val="0BD75BB1"/>
    <w:rsid w:val="0C97306B"/>
    <w:rsid w:val="0C9E047D"/>
    <w:rsid w:val="0D3C1DC3"/>
    <w:rsid w:val="0E0137ED"/>
    <w:rsid w:val="0F184516"/>
    <w:rsid w:val="0F66217A"/>
    <w:rsid w:val="10F82212"/>
    <w:rsid w:val="12E6250F"/>
    <w:rsid w:val="13C95DDF"/>
    <w:rsid w:val="13DD4624"/>
    <w:rsid w:val="143516C6"/>
    <w:rsid w:val="1441006B"/>
    <w:rsid w:val="14E414FA"/>
    <w:rsid w:val="15BE749A"/>
    <w:rsid w:val="187A6CED"/>
    <w:rsid w:val="191C142F"/>
    <w:rsid w:val="19301A61"/>
    <w:rsid w:val="19416EE3"/>
    <w:rsid w:val="19D523AF"/>
    <w:rsid w:val="19E54C84"/>
    <w:rsid w:val="1A2B2E16"/>
    <w:rsid w:val="1A584361"/>
    <w:rsid w:val="1CA53035"/>
    <w:rsid w:val="1CB72E06"/>
    <w:rsid w:val="1D406077"/>
    <w:rsid w:val="1D7F01B2"/>
    <w:rsid w:val="1F9B0ADF"/>
    <w:rsid w:val="1FC00470"/>
    <w:rsid w:val="20AE6A88"/>
    <w:rsid w:val="213B2D65"/>
    <w:rsid w:val="21B97B04"/>
    <w:rsid w:val="22345F2D"/>
    <w:rsid w:val="223760ED"/>
    <w:rsid w:val="229A5157"/>
    <w:rsid w:val="22A810F6"/>
    <w:rsid w:val="22F1792F"/>
    <w:rsid w:val="23996ED4"/>
    <w:rsid w:val="23C06ACA"/>
    <w:rsid w:val="24087AE2"/>
    <w:rsid w:val="278C73EE"/>
    <w:rsid w:val="28845678"/>
    <w:rsid w:val="28872C4F"/>
    <w:rsid w:val="28AB7D51"/>
    <w:rsid w:val="29156767"/>
    <w:rsid w:val="29BA649E"/>
    <w:rsid w:val="29DE5491"/>
    <w:rsid w:val="2C01798C"/>
    <w:rsid w:val="2C7C594D"/>
    <w:rsid w:val="2CD14227"/>
    <w:rsid w:val="2D2824A3"/>
    <w:rsid w:val="2EA636D0"/>
    <w:rsid w:val="2F70370F"/>
    <w:rsid w:val="2F8512FC"/>
    <w:rsid w:val="2F93749F"/>
    <w:rsid w:val="302A1EA4"/>
    <w:rsid w:val="30782B49"/>
    <w:rsid w:val="30943860"/>
    <w:rsid w:val="33D67EED"/>
    <w:rsid w:val="37107AF9"/>
    <w:rsid w:val="374B4BD9"/>
    <w:rsid w:val="38557A9F"/>
    <w:rsid w:val="386E468D"/>
    <w:rsid w:val="390B7B9C"/>
    <w:rsid w:val="3A1D67A9"/>
    <w:rsid w:val="3A4A73CA"/>
    <w:rsid w:val="3AD108EC"/>
    <w:rsid w:val="3C440F6E"/>
    <w:rsid w:val="3C547AAC"/>
    <w:rsid w:val="3DCC7449"/>
    <w:rsid w:val="3DE83A67"/>
    <w:rsid w:val="3FE464D0"/>
    <w:rsid w:val="41780CC1"/>
    <w:rsid w:val="42BD2F8E"/>
    <w:rsid w:val="435B1499"/>
    <w:rsid w:val="440A6827"/>
    <w:rsid w:val="447A08AC"/>
    <w:rsid w:val="45976840"/>
    <w:rsid w:val="46DE313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BD1F95"/>
    <w:rsid w:val="4FC652ED"/>
    <w:rsid w:val="4FF456D9"/>
    <w:rsid w:val="50054BB6"/>
    <w:rsid w:val="500951DA"/>
    <w:rsid w:val="50390222"/>
    <w:rsid w:val="50A0169A"/>
    <w:rsid w:val="50E43FF4"/>
    <w:rsid w:val="51E90747"/>
    <w:rsid w:val="53DA53DB"/>
    <w:rsid w:val="540258F6"/>
    <w:rsid w:val="541E163A"/>
    <w:rsid w:val="543A1E06"/>
    <w:rsid w:val="55CA11C1"/>
    <w:rsid w:val="5621082A"/>
    <w:rsid w:val="563D42BB"/>
    <w:rsid w:val="56625644"/>
    <w:rsid w:val="56B90D23"/>
    <w:rsid w:val="58324C4B"/>
    <w:rsid w:val="58C472F2"/>
    <w:rsid w:val="5A13454B"/>
    <w:rsid w:val="5C8713FF"/>
    <w:rsid w:val="5CF67CB9"/>
    <w:rsid w:val="5D2574A1"/>
    <w:rsid w:val="5D294756"/>
    <w:rsid w:val="5DC2080A"/>
    <w:rsid w:val="5F6B1E45"/>
    <w:rsid w:val="5FC078B7"/>
    <w:rsid w:val="63327278"/>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C0DD5"/>
    <w:rsid w:val="778D3071"/>
    <w:rsid w:val="77BA6C36"/>
    <w:rsid w:val="78E77DBC"/>
    <w:rsid w:val="78EE6CAC"/>
    <w:rsid w:val="796E7CD8"/>
    <w:rsid w:val="79D42231"/>
    <w:rsid w:val="79F214BE"/>
    <w:rsid w:val="7A7953A0"/>
    <w:rsid w:val="7AED01B2"/>
    <w:rsid w:val="7B2C1BF9"/>
    <w:rsid w:val="7C445430"/>
    <w:rsid w:val="7C603C27"/>
    <w:rsid w:val="7D351A47"/>
    <w:rsid w:val="7D691CDB"/>
    <w:rsid w:val="7EBD3628"/>
    <w:rsid w:val="7F030EC6"/>
    <w:rsid w:val="7FB328E9"/>
    <w:rsid w:val="7FD142C1"/>
    <w:rsid w:val="7FDD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after="100" w:line="360" w:lineRule="exact"/>
      <w:ind w:firstLine="200"/>
    </w:pPr>
    <w:rPr>
      <w:rFonts w:ascii="Times New Roman" w:hAnsi="Times New Roman" w:eastAsia="宋体" w:cs="Times New Roman"/>
      <w:sz w:val="22"/>
      <w:szCs w:val="22"/>
    </w:rPr>
  </w:style>
  <w:style w:type="paragraph" w:styleId="5">
    <w:name w:val="annotation text"/>
    <w:basedOn w:val="1"/>
    <w:link w:val="27"/>
    <w:autoRedefine/>
    <w:qFormat/>
    <w:uiPriority w:val="0"/>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autoRedefine/>
    <w:qFormat/>
    <w:uiPriority w:val="1"/>
    <w:rPr>
      <w:rFonts w:ascii="宋体" w:hAnsi="宋体" w:eastAsia="宋体" w:cs="宋体"/>
      <w:sz w:val="24"/>
      <w:szCs w:val="24"/>
      <w:lang w:val="zh-CN" w:bidi="zh-CN"/>
    </w:rPr>
  </w:style>
  <w:style w:type="paragraph" w:styleId="8">
    <w:name w:val="Body Text Indent"/>
    <w:basedOn w:val="1"/>
    <w:autoRedefine/>
    <w:qFormat/>
    <w:uiPriority w:val="0"/>
    <w:pPr>
      <w:spacing w:after="120"/>
      <w:ind w:left="420" w:leftChars="200"/>
    </w:p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2"/>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5"/>
    <w:next w:val="5"/>
    <w:link w:val="28"/>
    <w:autoRedefine/>
    <w:qFormat/>
    <w:uiPriority w:val="0"/>
    <w:rPr>
      <w:b/>
      <w:bCs/>
    </w:rPr>
  </w:style>
  <w:style w:type="paragraph" w:styleId="16">
    <w:name w:val="Body Text First Indent 2"/>
    <w:basedOn w:val="8"/>
    <w:autoRedefine/>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qFormat/>
    <w:uiPriority w:val="0"/>
    <w:rPr>
      <w:sz w:val="21"/>
      <w:szCs w:val="21"/>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character" w:customStyle="1" w:styleId="24">
    <w:name w:val="font01"/>
    <w:basedOn w:val="19"/>
    <w:autoRedefine/>
    <w:qFormat/>
    <w:uiPriority w:val="0"/>
    <w:rPr>
      <w:rFonts w:hint="eastAsia" w:ascii="宋体" w:hAnsi="宋体" w:eastAsia="宋体" w:cs="宋体"/>
      <w:color w:val="000000"/>
      <w:sz w:val="24"/>
      <w:szCs w:val="24"/>
      <w:u w:val="none"/>
      <w:vertAlign w:val="superscript"/>
    </w:rPr>
  </w:style>
  <w:style w:type="paragraph" w:customStyle="1" w:styleId="25">
    <w:name w:val="报告正文"/>
    <w:basedOn w:val="1"/>
    <w:autoRedefine/>
    <w:qFormat/>
    <w:uiPriority w:val="99"/>
    <w:pPr>
      <w:spacing w:line="360" w:lineRule="auto"/>
      <w:ind w:firstLine="560" w:firstLineChars="200"/>
    </w:pPr>
    <w:rPr>
      <w:sz w:val="28"/>
      <w:szCs w:val="28"/>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character" w:customStyle="1" w:styleId="27">
    <w:name w:val="批注文字 字符"/>
    <w:basedOn w:val="19"/>
    <w:link w:val="5"/>
    <w:autoRedefine/>
    <w:qFormat/>
    <w:uiPriority w:val="0"/>
    <w:rPr>
      <w:rFonts w:ascii="Arial" w:hAnsi="Arial" w:eastAsia="Arial" w:cs="Arial"/>
      <w:snapToGrid w:val="0"/>
      <w:color w:val="000000"/>
      <w:sz w:val="21"/>
      <w:szCs w:val="21"/>
    </w:rPr>
  </w:style>
  <w:style w:type="character" w:customStyle="1" w:styleId="28">
    <w:name w:val="批注主题 字符"/>
    <w:basedOn w:val="27"/>
    <w:link w:val="15"/>
    <w:autoRedefine/>
    <w:qFormat/>
    <w:uiPriority w:val="0"/>
    <w:rPr>
      <w:rFonts w:ascii="Arial" w:hAnsi="Arial" w:eastAsia="Arial" w:cs="Arial"/>
      <w:b/>
      <w:bCs/>
      <w:snapToGrid w:val="0"/>
      <w:color w:val="000000"/>
      <w:sz w:val="21"/>
      <w:szCs w:val="21"/>
    </w:rPr>
  </w:style>
  <w:style w:type="paragraph" w:styleId="29">
    <w:name w:val="List Paragraph"/>
    <w:basedOn w:val="1"/>
    <w:autoRedefine/>
    <w:qFormat/>
    <w:uiPriority w:val="99"/>
    <w:pPr>
      <w:ind w:firstLine="420" w:firstLineChars="200"/>
    </w:pPr>
  </w:style>
  <w:style w:type="character" w:customStyle="1" w:styleId="30">
    <w:name w:val="标题 1 字符"/>
    <w:basedOn w:val="19"/>
    <w:link w:val="2"/>
    <w:autoRedefine/>
    <w:qFormat/>
    <w:uiPriority w:val="0"/>
    <w:rPr>
      <w:rFonts w:ascii="Arial" w:hAnsi="Arial" w:eastAsia="Arial" w:cs="Arial"/>
      <w:b/>
      <w:bCs/>
      <w:snapToGrid w:val="0"/>
      <w:color w:val="000000"/>
      <w:kern w:val="44"/>
      <w:sz w:val="44"/>
      <w:szCs w:val="44"/>
    </w:rPr>
  </w:style>
  <w:style w:type="paragraph" w:customStyle="1" w:styleId="31">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2">
    <w:name w:val="页眉 字符"/>
    <w:basedOn w:val="19"/>
    <w:link w:val="12"/>
    <w:autoRedefine/>
    <w:qFormat/>
    <w:uiPriority w:val="0"/>
    <w:rPr>
      <w:rFonts w:ascii="Arial" w:hAnsi="Arial" w:eastAsia="Arial" w:cs="Arial"/>
      <w:snapToGrid w:val="0"/>
      <w:color w:val="000000"/>
      <w:sz w:val="18"/>
      <w:szCs w:val="18"/>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标题A"/>
    <w:basedOn w:val="29"/>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1769</Words>
  <Characters>2041</Characters>
  <Lines>28</Lines>
  <Paragraphs>7</Paragraphs>
  <TotalTime>19</TotalTime>
  <ScaleCrop>false</ScaleCrop>
  <LinksUpToDate>false</LinksUpToDate>
  <CharactersWithSpaces>2135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李国彬（文书）</cp:lastModifiedBy>
  <cp:lastPrinted>2025-02-28T06:23:00Z</cp:lastPrinted>
  <dcterms:modified xsi:type="dcterms:W3CDTF">2025-03-10T09:27:05Z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F1E627E2D5304317B1B859E55F4DFA11_13</vt:lpwstr>
  </property>
  <property fmtid="{D5CDD505-2E9C-101B-9397-08002B2CF9AE}" pid="4" name="KSOTemplateDocerSaveRecord">
    <vt:lpwstr>eyJoZGlkIjoiMTFmZWY0YjkyZGYzN2U1NjdhNTIzNmE5Mjg5OWFmMmIiLCJ1c2VySWQiOiI0MTI0MjA3ODgifQ==</vt:lpwstr>
  </property>
</Properties>
</file>