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8F47">
      <w:pPr>
        <w:spacing w:line="278" w:lineRule="auto"/>
        <w:rPr>
          <w:rFonts w:hint="eastAsia" w:ascii="宋体" w:hAnsi="宋体" w:eastAsia="宋体" w:cs="宋体"/>
        </w:rPr>
      </w:pPr>
      <w:bookmarkStart w:id="0" w:name="_Toc14049"/>
      <w:bookmarkStart w:id="1" w:name="_Toc27807"/>
    </w:p>
    <w:p w14:paraId="244239FC">
      <w:pPr>
        <w:spacing w:line="278" w:lineRule="auto"/>
        <w:rPr>
          <w:rFonts w:hint="eastAsia" w:ascii="宋体" w:hAnsi="宋体" w:eastAsia="宋体" w:cs="宋体"/>
        </w:rPr>
      </w:pPr>
    </w:p>
    <w:p w14:paraId="26199007">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39AAA25E">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52"/>
          <w:szCs w:val="52"/>
          <w:u w:val="single"/>
          <w:lang w:val="en-US" w:eastAsia="zh-CN"/>
        </w:rPr>
        <w:t>液压与气动类标准件</w:t>
      </w:r>
      <w:r>
        <w:rPr>
          <w:rFonts w:hint="eastAsia" w:ascii="宋体" w:hAnsi="宋体" w:eastAsia="宋体" w:cs="宋体"/>
          <w:spacing w:val="-3"/>
          <w:sz w:val="52"/>
          <w:szCs w:val="52"/>
        </w:rPr>
        <w:t>采购项目</w:t>
      </w:r>
      <w:bookmarkEnd w:id="2"/>
      <w:bookmarkEnd w:id="3"/>
    </w:p>
    <w:p w14:paraId="3AEF850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7A88FDC">
      <w:pPr>
        <w:spacing w:line="248" w:lineRule="auto"/>
        <w:rPr>
          <w:rFonts w:hint="eastAsia" w:ascii="宋体" w:hAnsi="宋体" w:eastAsia="宋体" w:cs="宋体"/>
        </w:rPr>
      </w:pPr>
    </w:p>
    <w:p w14:paraId="17B4C460">
      <w:pPr>
        <w:spacing w:line="248" w:lineRule="auto"/>
        <w:rPr>
          <w:rFonts w:hint="eastAsia" w:ascii="宋体" w:hAnsi="宋体" w:eastAsia="宋体" w:cs="宋体"/>
        </w:rPr>
      </w:pPr>
    </w:p>
    <w:p w14:paraId="2CC8832C">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HXZB2025021101</w:t>
      </w:r>
    </w:p>
    <w:p w14:paraId="7BB90D44">
      <w:pPr>
        <w:spacing w:line="248" w:lineRule="auto"/>
        <w:rPr>
          <w:rFonts w:hint="eastAsia" w:ascii="宋体" w:hAnsi="宋体" w:eastAsia="宋体" w:cs="宋体"/>
        </w:rPr>
      </w:pPr>
    </w:p>
    <w:p w14:paraId="72791A66">
      <w:pPr>
        <w:spacing w:line="248" w:lineRule="auto"/>
        <w:rPr>
          <w:rFonts w:hint="eastAsia" w:ascii="宋体" w:hAnsi="宋体" w:eastAsia="宋体" w:cs="宋体"/>
        </w:rPr>
      </w:pPr>
    </w:p>
    <w:p w14:paraId="25ADB838">
      <w:pPr>
        <w:spacing w:line="249" w:lineRule="auto"/>
        <w:rPr>
          <w:rFonts w:hint="eastAsia" w:ascii="宋体" w:hAnsi="宋体" w:eastAsia="宋体" w:cs="宋体"/>
        </w:rPr>
      </w:pPr>
    </w:p>
    <w:p w14:paraId="1DAB54E0">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14:paraId="55B5DFB7">
      <w:pPr>
        <w:spacing w:before="274" w:line="185" w:lineRule="auto"/>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428AEA9A">
      <w:pPr>
        <w:spacing w:line="252" w:lineRule="auto"/>
        <w:rPr>
          <w:rFonts w:hint="eastAsia" w:ascii="宋体" w:hAnsi="宋体" w:eastAsia="宋体" w:cs="宋体"/>
        </w:rPr>
      </w:pPr>
    </w:p>
    <w:p w14:paraId="46909933">
      <w:pPr>
        <w:spacing w:line="252" w:lineRule="auto"/>
        <w:rPr>
          <w:rFonts w:hint="eastAsia" w:ascii="宋体" w:hAnsi="宋体" w:eastAsia="宋体" w:cs="宋体"/>
        </w:rPr>
      </w:pPr>
    </w:p>
    <w:p w14:paraId="0984F727">
      <w:pPr>
        <w:spacing w:line="252" w:lineRule="auto"/>
        <w:rPr>
          <w:rFonts w:hint="eastAsia" w:ascii="宋体" w:hAnsi="宋体" w:eastAsia="宋体" w:cs="宋体"/>
        </w:rPr>
      </w:pPr>
    </w:p>
    <w:p w14:paraId="4D0E4C2E">
      <w:pPr>
        <w:spacing w:line="252" w:lineRule="auto"/>
        <w:rPr>
          <w:rFonts w:hint="eastAsia" w:ascii="宋体" w:hAnsi="宋体" w:eastAsia="宋体" w:cs="宋体"/>
        </w:rPr>
      </w:pPr>
    </w:p>
    <w:p w14:paraId="22C73EC0">
      <w:pPr>
        <w:spacing w:line="253" w:lineRule="auto"/>
        <w:rPr>
          <w:rFonts w:hint="eastAsia" w:ascii="宋体" w:hAnsi="宋体" w:eastAsia="宋体" w:cs="宋体"/>
        </w:rPr>
      </w:pPr>
    </w:p>
    <w:p w14:paraId="6A54E3C5">
      <w:pPr>
        <w:spacing w:line="253" w:lineRule="auto"/>
        <w:rPr>
          <w:rFonts w:hint="eastAsia" w:ascii="宋体" w:hAnsi="宋体" w:eastAsia="宋体" w:cs="宋体"/>
        </w:rPr>
      </w:pPr>
    </w:p>
    <w:p w14:paraId="71832BB0">
      <w:pPr>
        <w:pStyle w:val="15"/>
        <w:rPr>
          <w:rFonts w:hint="eastAsia" w:ascii="宋体" w:hAnsi="宋体" w:eastAsia="宋体" w:cs="宋体"/>
        </w:rPr>
      </w:pPr>
    </w:p>
    <w:p w14:paraId="37CB4195">
      <w:pPr>
        <w:pStyle w:val="15"/>
        <w:rPr>
          <w:rFonts w:hint="eastAsia" w:ascii="宋体" w:hAnsi="宋体" w:eastAsia="宋体" w:cs="宋体"/>
        </w:rPr>
      </w:pPr>
      <w:bookmarkStart w:id="95" w:name="_GoBack"/>
      <w:bookmarkEnd w:id="95"/>
    </w:p>
    <w:p w14:paraId="38E38A3D">
      <w:pPr>
        <w:pStyle w:val="15"/>
        <w:rPr>
          <w:rFonts w:hint="eastAsia" w:ascii="宋体" w:hAnsi="宋体" w:eastAsia="宋体" w:cs="宋体"/>
        </w:rPr>
      </w:pPr>
    </w:p>
    <w:p w14:paraId="13E66144">
      <w:pPr>
        <w:spacing w:line="253" w:lineRule="auto"/>
        <w:rPr>
          <w:rFonts w:hint="eastAsia" w:ascii="宋体" w:hAnsi="宋体" w:eastAsia="宋体" w:cs="宋体"/>
        </w:rPr>
      </w:pPr>
    </w:p>
    <w:p w14:paraId="18B311D6">
      <w:pPr>
        <w:spacing w:line="253" w:lineRule="auto"/>
        <w:rPr>
          <w:rFonts w:hint="eastAsia" w:ascii="宋体" w:hAnsi="宋体" w:eastAsia="宋体" w:cs="宋体"/>
        </w:rPr>
      </w:pPr>
    </w:p>
    <w:p w14:paraId="69B305C1">
      <w:pPr>
        <w:spacing w:before="104" w:line="188" w:lineRule="auto"/>
        <w:rPr>
          <w:rFonts w:hint="eastAsia" w:ascii="宋体" w:hAnsi="宋体" w:eastAsia="宋体" w:cs="宋体"/>
          <w:spacing w:val="-18"/>
          <w:sz w:val="32"/>
          <w:szCs w:val="32"/>
        </w:rPr>
      </w:pPr>
    </w:p>
    <w:p w14:paraId="41EBAFB6">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4723C682">
      <w:pPr>
        <w:spacing w:line="409" w:lineRule="auto"/>
        <w:rPr>
          <w:rFonts w:hint="eastAsia" w:ascii="宋体" w:hAnsi="宋体" w:eastAsia="宋体" w:cs="宋体"/>
        </w:rPr>
      </w:pPr>
    </w:p>
    <w:p w14:paraId="22805664">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11日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90AFB83">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3C08A681">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0470ACE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AA683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179069">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D9DAE">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6C21F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619B59">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856DA">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4A349D4C">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5142C12E">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9A1A50B">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bl>
      <w:tblPr>
        <w:tblStyle w:val="17"/>
        <w:tblpPr w:leftFromText="180" w:rightFromText="180" w:vertAnchor="text" w:tblpX="10626" w:tblpY="1047"/>
        <w:tblOverlap w:val="never"/>
        <w:tblW w:w="12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2"/>
      </w:tblGrid>
      <w:tr w14:paraId="0943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2842" w:type="dxa"/>
          </w:tcPr>
          <w:p w14:paraId="7F73C1B7">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vertAlign w:val="baseline"/>
                <w:lang w:val="en-US" w:eastAsia="zh-CN"/>
              </w:rPr>
            </w:pPr>
          </w:p>
        </w:tc>
      </w:tr>
    </w:tbl>
    <w:p w14:paraId="5F0E88B4">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招标人中国机械总院集团海西（福建）分院有限公司根据生产所需，现决定通过招标方式采购</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u w:val="single"/>
          <w:lang w:val="en-US" w:eastAsia="zh-CN"/>
        </w:rPr>
        <w:t xml:space="preserve"> HXZB2025021101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液压与气动类标准件</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我们将通过招标方式，最后确定中标单位。</w:t>
      </w:r>
    </w:p>
    <w:p w14:paraId="1DB9BA9A">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3942"/>
      <w:bookmarkStart w:id="14" w:name="_Toc13304"/>
      <w:bookmarkStart w:id="15" w:name="_Toc3520"/>
      <w:bookmarkStart w:id="16" w:name="_Toc23627"/>
      <w:bookmarkStart w:id="17" w:name="_Toc30218"/>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page" w:tblpX="1826" w:tblpY="227"/>
        <w:tblOverlap w:val="never"/>
        <w:tblW w:w="8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699"/>
        <w:gridCol w:w="783"/>
        <w:gridCol w:w="1392"/>
        <w:gridCol w:w="1362"/>
        <w:gridCol w:w="2046"/>
      </w:tblGrid>
      <w:tr w14:paraId="1952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251" w:type="dxa"/>
            <w:vAlign w:val="center"/>
          </w:tcPr>
          <w:p w14:paraId="5BEE8D1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99" w:type="dxa"/>
            <w:vAlign w:val="center"/>
          </w:tcPr>
          <w:p w14:paraId="7BBDB1A3">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783" w:type="dxa"/>
            <w:tcBorders>
              <w:left w:val="single" w:color="auto" w:sz="4" w:space="0"/>
            </w:tcBorders>
            <w:vAlign w:val="center"/>
          </w:tcPr>
          <w:p w14:paraId="10C3A60B">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392" w:type="dxa"/>
            <w:vAlign w:val="center"/>
          </w:tcPr>
          <w:p w14:paraId="0E3B9FE0">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62" w:type="dxa"/>
            <w:vAlign w:val="center"/>
          </w:tcPr>
          <w:p w14:paraId="273A2303">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2046" w:type="dxa"/>
            <w:vAlign w:val="center"/>
          </w:tcPr>
          <w:p w14:paraId="3F78D6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00BC5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1251" w:type="dxa"/>
            <w:vAlign w:val="center"/>
          </w:tcPr>
          <w:p w14:paraId="487739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9" w:type="dxa"/>
            <w:vAlign w:val="center"/>
          </w:tcPr>
          <w:p w14:paraId="72D1F0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液压与气动类标准件</w:t>
            </w:r>
          </w:p>
        </w:tc>
        <w:tc>
          <w:tcPr>
            <w:tcW w:w="783" w:type="dxa"/>
            <w:tcBorders>
              <w:left w:val="single" w:color="auto" w:sz="4" w:space="0"/>
            </w:tcBorders>
            <w:vAlign w:val="center"/>
          </w:tcPr>
          <w:p w14:paraId="6356A2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1392" w:type="dxa"/>
            <w:vAlign w:val="center"/>
          </w:tcPr>
          <w:p w14:paraId="71A8CF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62" w:type="dxa"/>
            <w:tcBorders>
              <w:bottom w:val="single" w:color="auto" w:sz="4" w:space="0"/>
            </w:tcBorders>
            <w:vAlign w:val="center"/>
          </w:tcPr>
          <w:p w14:paraId="59DD9368">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按需方下单后3天内交货</w:t>
            </w:r>
          </w:p>
        </w:tc>
        <w:tc>
          <w:tcPr>
            <w:tcW w:w="2046" w:type="dxa"/>
            <w:tcBorders>
              <w:bottom w:val="single" w:color="auto" w:sz="4" w:space="0"/>
            </w:tcBorders>
            <w:vAlign w:val="center"/>
          </w:tcPr>
          <w:p w14:paraId="3C2C9ACA">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每月按需方下订单数量供货，清单见附件1，包括但不限于清单型号</w:t>
            </w:r>
          </w:p>
        </w:tc>
      </w:tr>
    </w:tbl>
    <w:p w14:paraId="46EC4344">
      <w:pPr>
        <w:pStyle w:val="28"/>
        <w:numPr>
          <w:ilvl w:val="0"/>
          <w:numId w:val="0"/>
        </w:numPr>
        <w:kinsoku/>
        <w:autoSpaceDE w:val="0"/>
        <w:autoSpaceDN w:val="0"/>
        <w:adjustRightInd w:val="0"/>
        <w:snapToGrid w:val="0"/>
        <w:spacing w:line="360" w:lineRule="auto"/>
        <w:textAlignment w:val="baseline"/>
        <w:outlineLvl w:val="0"/>
        <w:rPr>
          <w:rFonts w:hint="eastAsia" w:ascii="宋体" w:hAnsi="宋体" w:eastAsia="宋体" w:cs="宋体"/>
          <w:sz w:val="24"/>
          <w:szCs w:val="24"/>
        </w:rPr>
      </w:pPr>
    </w:p>
    <w:p w14:paraId="01985D0A">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 xml:space="preserve">林婧楠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15159159199</w:t>
      </w:r>
      <w:r>
        <w:rPr>
          <w:rFonts w:hint="eastAsia" w:ascii="宋体" w:hAnsi="宋体" w:eastAsia="宋体" w:cs="宋体"/>
          <w:sz w:val="24"/>
          <w:szCs w:val="24"/>
        </w:rPr>
        <w:t>)</w:t>
      </w:r>
    </w:p>
    <w:p w14:paraId="56684D4C">
      <w:pPr>
        <w:pStyle w:val="28"/>
        <w:numPr>
          <w:ilvl w:val="0"/>
          <w:numId w:val="1"/>
        </w:numPr>
        <w:kinsoku/>
        <w:spacing w:line="360" w:lineRule="auto"/>
        <w:ind w:left="0"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执行标准：</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执行</w:t>
      </w:r>
      <w:r>
        <w:rPr>
          <w:rFonts w:hint="eastAsia" w:ascii="宋体" w:hAnsi="宋体" w:eastAsia="宋体" w:cs="宋体"/>
          <w:color w:val="auto"/>
          <w:sz w:val="24"/>
          <w:szCs w:val="24"/>
          <w:lang w:val="en-US" w:eastAsia="zh-CN"/>
        </w:rPr>
        <w:t>现行的国家</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详见附件2</w:t>
      </w:r>
      <w:r>
        <w:rPr>
          <w:rFonts w:hint="eastAsia" w:ascii="宋体" w:hAnsi="宋体" w:eastAsia="宋体" w:cs="宋体"/>
          <w:color w:val="auto"/>
          <w:sz w:val="24"/>
          <w:szCs w:val="24"/>
          <w:lang w:eastAsia="zh-CN"/>
        </w:rPr>
        <w:t>。</w:t>
      </w:r>
    </w:p>
    <w:p w14:paraId="768BDC02">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w:t>
      </w:r>
      <w:r>
        <w:rPr>
          <w:rFonts w:hint="eastAsia" w:ascii="宋体" w:hAnsi="宋体" w:eastAsia="宋体" w:cs="宋体"/>
          <w:sz w:val="24"/>
          <w:szCs w:val="24"/>
          <w:lang w:val="en-US" w:eastAsia="zh-CN"/>
        </w:rPr>
        <w:t>：</w:t>
      </w:r>
    </w:p>
    <w:p w14:paraId="21724E7A">
      <w:pPr>
        <w:widowControl w:val="0"/>
        <w:numPr>
          <w:ilvl w:val="0"/>
          <w:numId w:val="0"/>
        </w:numPr>
        <w:kinsoku/>
        <w:spacing w:line="360" w:lineRule="auto"/>
        <w:ind w:leftChars="200"/>
        <w:rPr>
          <w:rFonts w:hint="eastAsia" w:ascii="宋体" w:hAnsi="宋体" w:eastAsia="宋体" w:cs="宋体"/>
          <w:color w:val="auto"/>
          <w:sz w:val="24"/>
          <w:szCs w:val="24"/>
        </w:rPr>
      </w:pPr>
      <w:r>
        <w:rPr>
          <w:rFonts w:hint="default" w:ascii="宋体" w:hAnsi="宋体" w:eastAsia="宋体" w:cs="宋体"/>
          <w:sz w:val="24"/>
          <w:szCs w:val="24"/>
          <w:lang w:val="en-US" w:eastAsia="zh-CN"/>
        </w:rPr>
        <w:t>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日</w:t>
      </w:r>
    </w:p>
    <w:p w14:paraId="4E46E10D">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参考品牌：</w:t>
      </w:r>
      <w:r>
        <w:rPr>
          <w:rFonts w:hint="eastAsia" w:ascii="宋体" w:hAnsi="宋体" w:eastAsia="宋体" w:cs="宋体"/>
          <w:color w:val="auto"/>
          <w:sz w:val="24"/>
          <w:szCs w:val="24"/>
          <w:lang w:val="en-US" w:eastAsia="zh-CN"/>
        </w:rPr>
        <w:t>亚德客、FESTO、力士乐、派克、SMC、喜开理（CKD）、气立可(CHELIC)、宝腾、流遍</w:t>
      </w:r>
      <w:r>
        <w:rPr>
          <w:rFonts w:hint="eastAsia" w:ascii="宋体" w:hAnsi="宋体" w:eastAsia="宋体" w:cs="宋体"/>
          <w:color w:val="auto"/>
          <w:sz w:val="24"/>
          <w:szCs w:val="24"/>
        </w:rPr>
        <w:t>或相当于以上的品牌</w:t>
      </w:r>
    </w:p>
    <w:p w14:paraId="15708376">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bookmarkStart w:id="19" w:name="_Toc5828"/>
    </w:p>
    <w:p w14:paraId="1F66257B">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rPr>
        <w:t>日</w:t>
      </w:r>
      <w:bookmarkEnd w:id="19"/>
    </w:p>
    <w:p w14:paraId="3303C7FE">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52398B1">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rPr>
        <w:t>日</w:t>
      </w:r>
      <w:bookmarkStart w:id="20" w:name="_Toc24591"/>
      <w:bookmarkStart w:id="21" w:name="_Toc7018"/>
      <w:bookmarkStart w:id="22" w:name="_Toc27635"/>
      <w:bookmarkStart w:id="23" w:name="_Toc30159"/>
      <w:bookmarkStart w:id="24" w:name="_Toc654"/>
      <w:bookmarkStart w:id="25" w:name="_Toc9339"/>
    </w:p>
    <w:p w14:paraId="45738703">
      <w:pPr>
        <w:widowControl w:val="0"/>
        <w:numPr>
          <w:ilvl w:val="0"/>
          <w:numId w:val="1"/>
        </w:numPr>
        <w:kinsoku/>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相关要求：</w:t>
      </w:r>
      <w:bookmarkEnd w:id="20"/>
      <w:bookmarkEnd w:id="21"/>
      <w:bookmarkEnd w:id="22"/>
      <w:bookmarkEnd w:id="23"/>
      <w:bookmarkEnd w:id="24"/>
      <w:bookmarkEnd w:id="25"/>
    </w:p>
    <w:p w14:paraId="0D9BD387">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6D6619CF">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54DCB0EC">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76B8F163">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59F5F29E">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416AD2C">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7FE306B5">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7）货到票到凭对账单月结付款。需方收到供方货物、检测报告，验收合格后凭对账单次月25日前月结，提供对应13%增值税专用发票后支付相应合同货款，电汇或银承。</w:t>
      </w:r>
    </w:p>
    <w:p w14:paraId="0B489DFE">
      <w:pPr>
        <w:widowControl w:val="0"/>
        <w:kinsoku/>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49B1B400">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661A7BC">
      <w:pPr>
        <w:pStyle w:val="28"/>
        <w:numPr>
          <w:ilvl w:val="0"/>
          <w:numId w:val="0"/>
        </w:numPr>
        <w:kinsoku/>
        <w:spacing w:line="360" w:lineRule="auto"/>
        <w:ind w:leftChars="200"/>
        <w:outlineLvl w:val="0"/>
        <w:rPr>
          <w:rFonts w:hint="eastAsia" w:ascii="宋体" w:hAnsi="宋体" w:eastAsia="宋体" w:cs="宋体"/>
          <w:sz w:val="24"/>
          <w:szCs w:val="24"/>
        </w:rPr>
      </w:pPr>
      <w:bookmarkStart w:id="26" w:name="_Toc20083"/>
      <w:bookmarkStart w:id="27" w:name="_Toc21113"/>
      <w:bookmarkStart w:id="28" w:name="_Toc21790"/>
      <w:bookmarkStart w:id="29" w:name="_Toc30078"/>
      <w:bookmarkStart w:id="30" w:name="_Toc19941"/>
      <w:bookmarkStart w:id="31" w:name="_Toc4182"/>
      <w:r>
        <w:rPr>
          <w:rFonts w:hint="eastAsia" w:ascii="宋体" w:hAnsi="宋体" w:eastAsia="宋体" w:cs="宋体"/>
          <w:sz w:val="24"/>
          <w:szCs w:val="24"/>
          <w:lang w:val="en-US" w:eastAsia="zh-CN"/>
        </w:rPr>
        <w:t>12.</w:t>
      </w:r>
      <w:r>
        <w:rPr>
          <w:rFonts w:hint="eastAsia" w:ascii="宋体" w:hAnsi="宋体" w:eastAsia="宋体" w:cs="宋体"/>
          <w:sz w:val="24"/>
          <w:szCs w:val="24"/>
        </w:rPr>
        <w:t>联系方式</w:t>
      </w:r>
      <w:bookmarkEnd w:id="26"/>
      <w:bookmarkEnd w:id="27"/>
      <w:bookmarkEnd w:id="28"/>
      <w:bookmarkEnd w:id="29"/>
      <w:bookmarkEnd w:id="30"/>
      <w:bookmarkEnd w:id="31"/>
    </w:p>
    <w:p w14:paraId="4CE0CCD1">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189177DB">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8D6F16E">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0C30382">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0A1E6DAE">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34227CA9">
      <w:pPr>
        <w:spacing w:line="270" w:lineRule="auto"/>
        <w:rPr>
          <w:rFonts w:hint="eastAsia" w:ascii="宋体" w:hAnsi="宋体" w:eastAsia="宋体" w:cs="宋体"/>
        </w:rPr>
      </w:pPr>
    </w:p>
    <w:p w14:paraId="7DC70607">
      <w:pPr>
        <w:spacing w:line="360" w:lineRule="auto"/>
        <w:rPr>
          <w:rFonts w:hint="eastAsia" w:ascii="宋体" w:hAnsi="宋体" w:eastAsia="宋体" w:cs="宋体"/>
        </w:rPr>
      </w:pPr>
    </w:p>
    <w:p w14:paraId="0F90590B">
      <w:pPr>
        <w:spacing w:line="360" w:lineRule="auto"/>
        <w:ind w:firstLine="459"/>
        <w:jc w:val="right"/>
        <w:outlineLvl w:val="0"/>
        <w:rPr>
          <w:rFonts w:hint="eastAsia" w:ascii="宋体" w:hAnsi="宋体" w:eastAsia="宋体" w:cs="宋体"/>
          <w:sz w:val="24"/>
          <w:szCs w:val="24"/>
          <w:lang w:eastAsia="zh-CN"/>
        </w:rPr>
      </w:pPr>
      <w:bookmarkStart w:id="32" w:name="_Toc322"/>
      <w:bookmarkStart w:id="33" w:name="_Toc19147"/>
      <w:bookmarkStart w:id="34" w:name="_Toc23207"/>
      <w:bookmarkStart w:id="35" w:name="_Toc20059"/>
      <w:r>
        <w:rPr>
          <w:rFonts w:hint="eastAsia" w:ascii="宋体" w:hAnsi="宋体" w:eastAsia="宋体" w:cs="宋体"/>
          <w:sz w:val="24"/>
          <w:szCs w:val="24"/>
        </w:rPr>
        <w:t>中国机械总院集团海西（福建）分院有限公司</w:t>
      </w:r>
      <w:bookmarkEnd w:id="32"/>
      <w:bookmarkEnd w:id="33"/>
      <w:bookmarkEnd w:id="34"/>
      <w:bookmarkEnd w:id="35"/>
    </w:p>
    <w:p w14:paraId="09442243">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7BBEF32A">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p w14:paraId="666018E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DFE86DD">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4E742DF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14DF5E03">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273D8D61">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9822"/>
      <w:bookmarkStart w:id="40" w:name="_Toc21532"/>
      <w:bookmarkStart w:id="41" w:name="_Toc15722"/>
      <w:bookmarkStart w:id="42" w:name="_Toc5448"/>
      <w:bookmarkStart w:id="43" w:name="_Toc14879"/>
      <w:bookmarkStart w:id="44" w:name="_Toc24156"/>
      <w:r>
        <w:rPr>
          <w:rFonts w:hint="eastAsia" w:ascii="宋体" w:hAnsi="宋体" w:eastAsia="宋体" w:cs="宋体"/>
          <w:sz w:val="24"/>
          <w:szCs w:val="24"/>
        </w:rPr>
        <w:t>投标资格（包括但不限于）：</w:t>
      </w:r>
      <w:bookmarkEnd w:id="39"/>
      <w:bookmarkEnd w:id="40"/>
      <w:bookmarkEnd w:id="41"/>
      <w:bookmarkEnd w:id="42"/>
      <w:bookmarkEnd w:id="43"/>
      <w:bookmarkEnd w:id="44"/>
    </w:p>
    <w:p w14:paraId="42113DFD">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r>
        <w:rPr>
          <w:rFonts w:hint="eastAsia" w:ascii="宋体" w:hAnsi="宋体" w:eastAsia="宋体" w:cs="宋体"/>
          <w:color w:val="auto"/>
          <w:position w:val="5"/>
          <w:sz w:val="24"/>
          <w:szCs w:val="24"/>
          <w:lang w:eastAsia="zh-CN"/>
        </w:rPr>
        <w:t>，</w:t>
      </w:r>
      <w:r>
        <w:rPr>
          <w:rFonts w:hint="eastAsia" w:ascii="宋体" w:hAnsi="宋体" w:eastAsia="宋体" w:cs="宋体"/>
          <w:color w:val="auto"/>
          <w:position w:val="5"/>
          <w:sz w:val="24"/>
          <w:szCs w:val="24"/>
        </w:rPr>
        <w:t>报价人必须在中国境内依法注册，具有法人资格、</w:t>
      </w:r>
      <w:r>
        <w:rPr>
          <w:rFonts w:hint="eastAsia" w:ascii="宋体" w:hAnsi="宋体" w:eastAsia="宋体" w:cs="宋体"/>
          <w:color w:val="auto"/>
          <w:position w:val="5"/>
          <w:sz w:val="24"/>
          <w:szCs w:val="24"/>
          <w:lang w:val="en-US" w:eastAsia="zh-CN"/>
        </w:rPr>
        <w:t>具</w:t>
      </w:r>
      <w:r>
        <w:rPr>
          <w:rFonts w:hint="eastAsia" w:ascii="宋体" w:hAnsi="宋体" w:eastAsia="宋体" w:cs="宋体"/>
          <w:color w:val="auto"/>
          <w:position w:val="5"/>
          <w:sz w:val="24"/>
          <w:szCs w:val="24"/>
        </w:rPr>
        <w:t>备采购物资生产供应经验的生产商或代理商，并目均具有经过年审的法人营业执照</w:t>
      </w:r>
    </w:p>
    <w:p w14:paraId="10C0D7FD">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报价人必须在中国境内依法注册，具有法人资格、县备采购物资生产供应经验的生产商或代理商，并目均具有经过年审的法人营业执照</w:t>
      </w:r>
    </w:p>
    <w:p w14:paraId="59159788">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5CD4CFAA">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具有一定规模和良好的资金财务状况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报价人注册资金不低于100万元(含)人民币。</w:t>
      </w:r>
    </w:p>
    <w:p w14:paraId="3A72AF06">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履约信用要求:报价人必须具有良好的社会信营，最近三年内没有与骗取合同有关的犯罪或严重违法行为而引起的诉讼和仲裁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近三年不曾在合同中严重违约;财产被接管或企业未处于禁止或取消投标状态。</w:t>
      </w:r>
    </w:p>
    <w:p w14:paraId="00AB5BD6">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37DCA467">
      <w:pPr>
        <w:kinsoku/>
        <w:spacing w:line="360" w:lineRule="auto"/>
        <w:ind w:firstLine="482" w:firstLineChars="200"/>
        <w:outlineLvl w:val="0"/>
        <w:rPr>
          <w:rFonts w:hint="eastAsia" w:ascii="宋体" w:hAnsi="宋体" w:eastAsia="宋体" w:cs="宋体"/>
          <w:b/>
          <w:bCs/>
          <w:sz w:val="24"/>
          <w:szCs w:val="24"/>
        </w:rPr>
      </w:pPr>
      <w:bookmarkStart w:id="45" w:name="_Toc16770"/>
      <w:bookmarkStart w:id="46" w:name="_Toc9930"/>
      <w:bookmarkStart w:id="47" w:name="_Toc12309"/>
      <w:bookmarkStart w:id="48" w:name="_Toc15847"/>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14:paraId="4C168E00">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48888CF1">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C07BA43">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159B2FC1">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w:t>
      </w:r>
      <w:r>
        <w:rPr>
          <w:rFonts w:hint="eastAsia" w:ascii="宋体" w:hAnsi="宋体" w:eastAsia="宋体" w:cs="宋体"/>
          <w:sz w:val="24"/>
          <w:szCs w:val="24"/>
          <w:lang w:val="en-US" w:eastAsia="zh-CN"/>
        </w:rPr>
        <w:t>裁切、</w:t>
      </w:r>
      <w:r>
        <w:rPr>
          <w:rFonts w:hint="eastAsia" w:ascii="宋体" w:hAnsi="宋体" w:eastAsia="宋体" w:cs="宋体"/>
          <w:sz w:val="24"/>
          <w:szCs w:val="24"/>
        </w:rPr>
        <w:t>包装、运输、装卸等相关费用）；投标报价以元为单位，精确到小数点后两位数，超出两位按四舍五入计；包装物投标人不回收，费用由投标人负担。</w:t>
      </w:r>
    </w:p>
    <w:p w14:paraId="74E9DE3D">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27ACBBED">
      <w:pPr>
        <w:kinsoku/>
        <w:spacing w:line="360" w:lineRule="auto"/>
        <w:ind w:firstLine="482" w:firstLineChars="200"/>
        <w:outlineLvl w:val="0"/>
        <w:rPr>
          <w:rFonts w:hint="eastAsia" w:ascii="宋体" w:hAnsi="宋体" w:eastAsia="宋体" w:cs="宋体"/>
          <w:b/>
          <w:bCs/>
          <w:sz w:val="24"/>
          <w:szCs w:val="24"/>
        </w:rPr>
      </w:pPr>
      <w:bookmarkStart w:id="51" w:name="_Toc24896"/>
      <w:bookmarkStart w:id="52" w:name="_Toc13329"/>
      <w:bookmarkStart w:id="53" w:name="_Toc19945"/>
      <w:bookmarkStart w:id="54" w:name="_Toc14547"/>
      <w:bookmarkStart w:id="55" w:name="_Toc2348"/>
      <w:r>
        <w:rPr>
          <w:rFonts w:hint="eastAsia" w:ascii="宋体" w:hAnsi="宋体" w:eastAsia="宋体" w:cs="宋体"/>
          <w:b/>
          <w:bCs/>
          <w:sz w:val="24"/>
          <w:szCs w:val="24"/>
        </w:rPr>
        <w:t>三、投标文件</w:t>
      </w:r>
      <w:bookmarkEnd w:id="51"/>
      <w:bookmarkEnd w:id="52"/>
      <w:bookmarkEnd w:id="53"/>
      <w:bookmarkEnd w:id="54"/>
      <w:bookmarkEnd w:id="55"/>
    </w:p>
    <w:p w14:paraId="798BF1AD">
      <w:pPr>
        <w:tabs>
          <w:tab w:val="left" w:pos="1446"/>
        </w:tabs>
        <w:spacing w:line="360" w:lineRule="auto"/>
        <w:ind w:firstLine="480" w:firstLineChars="200"/>
        <w:rPr>
          <w:rFonts w:hint="eastAsia" w:ascii="宋体" w:hAnsi="宋体" w:eastAsia="宋体" w:cs="宋体"/>
          <w:sz w:val="24"/>
          <w:szCs w:val="24"/>
          <w:highlight w:val="none"/>
          <w:lang w:val="en-US" w:eastAsia="zh-CN"/>
        </w:rPr>
      </w:pPr>
      <w:bookmarkStart w:id="56" w:name="_Toc8"/>
      <w:bookmarkStart w:id="57" w:name="_Toc14760"/>
      <w:bookmarkStart w:id="58" w:name="_Toc18677"/>
      <w:bookmarkStart w:id="59" w:name="_Toc29111"/>
      <w:bookmarkStart w:id="60" w:name="_Toc23458"/>
      <w:r>
        <w:rPr>
          <w:rFonts w:hint="eastAsia" w:ascii="宋体" w:hAnsi="宋体" w:eastAsia="宋体" w:cs="宋体"/>
          <w:sz w:val="24"/>
          <w:szCs w:val="24"/>
          <w:highlight w:val="none"/>
          <w:lang w:val="en-US" w:eastAsia="zh-CN"/>
        </w:rPr>
        <w:t>1、投标人应填写其单位名称全称。</w:t>
      </w:r>
    </w:p>
    <w:p w14:paraId="152B7E96">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文件包括《投标函》、《投标单价表》、《液压气动类产品手册》、《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14:paraId="01FF3CC0">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《投标人企业概况及综合情况说明》、《服务承诺》和投标人认为需要提供的其他相关数据和资料。</w:t>
      </w:r>
    </w:p>
    <w:p w14:paraId="3DD10BA6">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3、《投标函》、《投标报价表》须加盖投标人公章，由其法定代表人或其委托代理人亲笔签字。</w:t>
      </w:r>
    </w:p>
    <w:p w14:paraId="5B421543">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4、自开标之日起60天内，投标文件应保持有效。有效期短于前述规定期限的投标，将被拒绝。</w:t>
      </w:r>
    </w:p>
    <w:p w14:paraId="4B82661E">
      <w:p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四、开标、评标、定标</w:t>
      </w:r>
      <w:bookmarkEnd w:id="56"/>
      <w:bookmarkEnd w:id="57"/>
      <w:bookmarkEnd w:id="58"/>
      <w:bookmarkEnd w:id="59"/>
      <w:bookmarkEnd w:id="60"/>
    </w:p>
    <w:p w14:paraId="0FF2611A">
      <w:pPr>
        <w:pStyle w:val="28"/>
        <w:numPr>
          <w:ilvl w:val="0"/>
          <w:numId w:val="5"/>
        </w:numPr>
        <w:kinsoku/>
        <w:spacing w:line="360" w:lineRule="auto"/>
        <w:ind w:left="0" w:firstLine="480"/>
        <w:outlineLvl w:val="0"/>
        <w:rPr>
          <w:rFonts w:hint="eastAsia" w:ascii="宋体" w:hAnsi="宋体" w:eastAsia="宋体" w:cs="宋体"/>
          <w:sz w:val="24"/>
          <w:szCs w:val="24"/>
        </w:rPr>
      </w:pPr>
      <w:bookmarkStart w:id="61" w:name="_Toc5695"/>
      <w:bookmarkStart w:id="62" w:name="_Toc3331"/>
      <w:bookmarkStart w:id="63" w:name="_Toc29386"/>
      <w:bookmarkStart w:id="64" w:name="_Toc20255"/>
      <w:bookmarkStart w:id="65" w:name="_Toc31780"/>
      <w:bookmarkStart w:id="66" w:name="_Toc998"/>
      <w:r>
        <w:rPr>
          <w:rFonts w:hint="eastAsia" w:ascii="宋体" w:hAnsi="宋体" w:eastAsia="宋体" w:cs="宋体"/>
          <w:sz w:val="24"/>
          <w:szCs w:val="24"/>
        </w:rPr>
        <w:t>开标时，将按照招标人有关招投标规定执行。</w:t>
      </w:r>
      <w:bookmarkEnd w:id="61"/>
      <w:bookmarkEnd w:id="62"/>
      <w:bookmarkEnd w:id="63"/>
      <w:bookmarkEnd w:id="64"/>
      <w:bookmarkEnd w:id="65"/>
      <w:bookmarkEnd w:id="66"/>
    </w:p>
    <w:p w14:paraId="724C8222">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11A884E5">
      <w:pPr>
        <w:pStyle w:val="28"/>
        <w:numPr>
          <w:ilvl w:val="0"/>
          <w:numId w:val="5"/>
        </w:numPr>
        <w:kinsoku/>
        <w:spacing w:line="360" w:lineRule="auto"/>
        <w:ind w:left="0" w:firstLine="480"/>
        <w:outlineLvl w:val="0"/>
        <w:rPr>
          <w:rFonts w:hint="eastAsia" w:ascii="宋体" w:hAnsi="宋体" w:eastAsia="宋体" w:cs="宋体"/>
          <w:sz w:val="24"/>
          <w:szCs w:val="24"/>
        </w:rPr>
      </w:pPr>
      <w:bookmarkStart w:id="67" w:name="_Toc26371"/>
      <w:bookmarkStart w:id="68" w:name="_Toc18886"/>
      <w:bookmarkStart w:id="69" w:name="_Toc12"/>
      <w:bookmarkStart w:id="70" w:name="_Toc24129"/>
      <w:bookmarkStart w:id="71" w:name="_Toc6426"/>
      <w:bookmarkStart w:id="72" w:name="_Toc14086"/>
      <w:r>
        <w:rPr>
          <w:rFonts w:hint="eastAsia" w:ascii="宋体" w:hAnsi="宋体" w:eastAsia="宋体" w:cs="宋体"/>
          <w:sz w:val="24"/>
          <w:szCs w:val="24"/>
        </w:rPr>
        <w:t>招标人不对未中标的投标人作任何解释，不退还投标文件。</w:t>
      </w:r>
      <w:bookmarkEnd w:id="67"/>
      <w:bookmarkEnd w:id="68"/>
      <w:bookmarkEnd w:id="69"/>
      <w:bookmarkEnd w:id="70"/>
      <w:bookmarkEnd w:id="71"/>
      <w:bookmarkEnd w:id="72"/>
    </w:p>
    <w:p w14:paraId="331E18AD">
      <w:pPr>
        <w:numPr>
          <w:ilvl w:val="0"/>
          <w:numId w:val="6"/>
        </w:numPr>
        <w:kinsoku/>
        <w:spacing w:line="360" w:lineRule="auto"/>
        <w:ind w:firstLine="482" w:firstLineChars="200"/>
        <w:outlineLvl w:val="0"/>
        <w:rPr>
          <w:rFonts w:hint="eastAsia" w:ascii="宋体" w:hAnsi="宋体" w:eastAsia="宋体" w:cs="宋体"/>
          <w:b/>
          <w:bCs/>
          <w:sz w:val="24"/>
          <w:szCs w:val="24"/>
        </w:rPr>
      </w:pPr>
      <w:bookmarkStart w:id="73" w:name="_Toc25649"/>
      <w:bookmarkStart w:id="74" w:name="_Toc29662"/>
      <w:bookmarkStart w:id="75" w:name="_Toc2586"/>
      <w:bookmarkStart w:id="76" w:name="_Toc6326"/>
      <w:bookmarkStart w:id="77" w:name="_Toc32748"/>
      <w:r>
        <w:rPr>
          <w:rFonts w:hint="eastAsia" w:ascii="宋体" w:hAnsi="宋体" w:eastAsia="宋体" w:cs="宋体"/>
          <w:b/>
          <w:bCs/>
          <w:sz w:val="24"/>
          <w:szCs w:val="24"/>
          <w:lang w:val="en-US" w:eastAsia="zh-CN"/>
        </w:rPr>
        <w:t>合同签订</w:t>
      </w:r>
      <w:bookmarkEnd w:id="73"/>
      <w:bookmarkEnd w:id="74"/>
      <w:bookmarkEnd w:id="75"/>
      <w:bookmarkEnd w:id="76"/>
      <w:bookmarkEnd w:id="77"/>
    </w:p>
    <w:p w14:paraId="2795F0BA">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1、中标人应在接到中标通知书之日起10日内（含节假日）与招标人（含子公司）签署年度供货协议，年度协议有效期间1年。中标人因自身原因不与招标人签订买卖合同的，视为自愿放弃该次中标。</w:t>
      </w:r>
    </w:p>
    <w:p w14:paraId="2663342F">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2、中标人必须保证中标产品质量的稳定，如果招标人发现产品质量不符合本招标文件要求的标准，或者发生质量下降，招标人有权单方面终止买卖合同。</w:t>
      </w:r>
    </w:p>
    <w:p w14:paraId="03FD933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3、中标人延误买卖合同约定的产品交付期限，招标人有权追究中标人责任。</w:t>
      </w:r>
    </w:p>
    <w:p w14:paraId="77555886">
      <w:pPr>
        <w:tabs>
          <w:tab w:val="left" w:pos="1446"/>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4、在买卖合同有效期内，中标人如违反买卖合同的约定，招标人有权单方面终止买卖合同。</w:t>
      </w:r>
    </w:p>
    <w:p w14:paraId="5FE886B2">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纪律要求</w:t>
      </w:r>
    </w:p>
    <w:p w14:paraId="37FDB8E8">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bookmarkStart w:id="78" w:name="_Toc9588"/>
      <w:bookmarkStart w:id="79" w:name="_Toc3302"/>
      <w:bookmarkStart w:id="80" w:name="_Toc23438"/>
      <w:bookmarkStart w:id="81" w:name="_Toc11099"/>
      <w:bookmarkStart w:id="82" w:name="_Toc7771"/>
      <w:r>
        <w:rPr>
          <w:rFonts w:hint="eastAsia" w:ascii="宋体" w:hAnsi="宋体" w:eastAsia="宋体" w:cs="宋体"/>
          <w:b/>
          <w:bCs/>
          <w:sz w:val="24"/>
          <w:szCs w:val="24"/>
        </w:rPr>
        <w:t>六、其他</w:t>
      </w:r>
      <w:bookmarkEnd w:id="78"/>
      <w:bookmarkEnd w:id="79"/>
      <w:bookmarkEnd w:id="80"/>
      <w:bookmarkEnd w:id="81"/>
      <w:bookmarkEnd w:id="82"/>
    </w:p>
    <w:p w14:paraId="60700764">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1DB79A61">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lang w:val="en-US" w:eastAsia="zh-CN"/>
        </w:rPr>
        <w:t>中标人可与招标人主体及子公司签订合同。</w:t>
      </w:r>
    </w:p>
    <w:p w14:paraId="258FC748">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38AF11E">
      <w:pPr>
        <w:rPr>
          <w:rFonts w:hint="eastAsia" w:ascii="宋体" w:hAnsi="宋体" w:eastAsia="宋体" w:cs="宋体"/>
        </w:rPr>
      </w:pPr>
    </w:p>
    <w:p w14:paraId="3B6D3991">
      <w:pPr>
        <w:rPr>
          <w:rFonts w:hint="eastAsia" w:ascii="宋体" w:hAnsi="宋体" w:eastAsia="宋体" w:cs="宋体"/>
        </w:rPr>
      </w:pPr>
    </w:p>
    <w:p w14:paraId="335CFF3E">
      <w:pPr>
        <w:rPr>
          <w:rFonts w:hint="eastAsia" w:ascii="宋体" w:hAnsi="宋体" w:eastAsia="宋体" w:cs="宋体"/>
        </w:rPr>
      </w:pPr>
    </w:p>
    <w:p w14:paraId="7FFDFEEA">
      <w:pPr>
        <w:rPr>
          <w:rFonts w:hint="eastAsia" w:ascii="宋体" w:hAnsi="宋体" w:eastAsia="宋体" w:cs="宋体"/>
        </w:rPr>
      </w:pPr>
    </w:p>
    <w:p w14:paraId="2D86E77B">
      <w:pPr>
        <w:rPr>
          <w:rFonts w:hint="eastAsia" w:ascii="宋体" w:hAnsi="宋体" w:eastAsia="宋体" w:cs="宋体"/>
        </w:rPr>
      </w:pPr>
    </w:p>
    <w:p w14:paraId="12D3E00B">
      <w:pPr>
        <w:rPr>
          <w:rFonts w:hint="eastAsia" w:ascii="宋体" w:hAnsi="宋体" w:eastAsia="宋体" w:cs="宋体"/>
        </w:rPr>
      </w:pPr>
    </w:p>
    <w:p w14:paraId="41A63F4B">
      <w:pPr>
        <w:rPr>
          <w:rFonts w:hint="eastAsia" w:ascii="宋体" w:hAnsi="宋体" w:eastAsia="宋体" w:cs="宋体"/>
        </w:rPr>
      </w:pPr>
    </w:p>
    <w:p w14:paraId="4F33421F">
      <w:pPr>
        <w:rPr>
          <w:rFonts w:hint="eastAsia" w:ascii="宋体" w:hAnsi="宋体" w:eastAsia="宋体" w:cs="宋体"/>
        </w:rPr>
      </w:pPr>
    </w:p>
    <w:p w14:paraId="41A44959">
      <w:pPr>
        <w:rPr>
          <w:rFonts w:hint="eastAsia" w:ascii="宋体" w:hAnsi="宋体" w:eastAsia="宋体" w:cs="宋体"/>
        </w:rPr>
      </w:pPr>
    </w:p>
    <w:p w14:paraId="24E36369">
      <w:pPr>
        <w:rPr>
          <w:rFonts w:hint="eastAsia" w:ascii="宋体" w:hAnsi="宋体" w:eastAsia="宋体" w:cs="宋体"/>
        </w:rPr>
      </w:pPr>
    </w:p>
    <w:p w14:paraId="2C791864">
      <w:pPr>
        <w:rPr>
          <w:rFonts w:hint="eastAsia" w:ascii="宋体" w:hAnsi="宋体" w:eastAsia="宋体" w:cs="宋体"/>
        </w:rPr>
      </w:pPr>
    </w:p>
    <w:p w14:paraId="7A3B21C7">
      <w:pPr>
        <w:rPr>
          <w:rFonts w:hint="eastAsia" w:ascii="宋体" w:hAnsi="宋体" w:eastAsia="宋体" w:cs="宋体"/>
        </w:rPr>
      </w:pPr>
    </w:p>
    <w:p w14:paraId="7D3A819D">
      <w:pPr>
        <w:rPr>
          <w:rFonts w:hint="eastAsia" w:ascii="宋体" w:hAnsi="宋体" w:eastAsia="宋体" w:cs="宋体"/>
        </w:rPr>
      </w:pPr>
    </w:p>
    <w:p w14:paraId="03819F11">
      <w:pPr>
        <w:rPr>
          <w:rFonts w:hint="eastAsia" w:ascii="宋体" w:hAnsi="宋体" w:eastAsia="宋体" w:cs="宋体"/>
        </w:rPr>
      </w:pPr>
    </w:p>
    <w:p w14:paraId="3CCB87B4">
      <w:pPr>
        <w:rPr>
          <w:rFonts w:hint="eastAsia" w:ascii="宋体" w:hAnsi="宋体" w:eastAsia="宋体" w:cs="宋体"/>
        </w:rPr>
      </w:pPr>
    </w:p>
    <w:p w14:paraId="01EDEF3A">
      <w:pPr>
        <w:rPr>
          <w:rFonts w:hint="eastAsia" w:ascii="宋体" w:hAnsi="宋体" w:eastAsia="宋体" w:cs="宋体"/>
        </w:rPr>
      </w:pPr>
    </w:p>
    <w:p w14:paraId="739887F8">
      <w:pPr>
        <w:rPr>
          <w:rFonts w:hint="eastAsia" w:ascii="宋体" w:hAnsi="宋体" w:eastAsia="宋体" w:cs="宋体"/>
        </w:rPr>
      </w:pPr>
    </w:p>
    <w:p w14:paraId="536B31E0">
      <w:pPr>
        <w:rPr>
          <w:rFonts w:hint="eastAsia" w:ascii="宋体" w:hAnsi="宋体" w:eastAsia="宋体" w:cs="宋体"/>
        </w:rPr>
      </w:pPr>
    </w:p>
    <w:p w14:paraId="4BEE14DD">
      <w:pPr>
        <w:rPr>
          <w:rFonts w:hint="eastAsia" w:ascii="宋体" w:hAnsi="宋体" w:eastAsia="宋体" w:cs="宋体"/>
        </w:rPr>
      </w:pPr>
    </w:p>
    <w:p w14:paraId="38C8EC9A">
      <w:pPr>
        <w:rPr>
          <w:rFonts w:hint="eastAsia" w:ascii="宋体" w:hAnsi="宋体" w:eastAsia="宋体" w:cs="宋体"/>
        </w:rPr>
      </w:pPr>
    </w:p>
    <w:p w14:paraId="34B938CF">
      <w:pPr>
        <w:rPr>
          <w:rFonts w:hint="eastAsia" w:ascii="宋体" w:hAnsi="宋体" w:eastAsia="宋体" w:cs="宋体"/>
        </w:rPr>
      </w:pPr>
    </w:p>
    <w:p w14:paraId="2D923087">
      <w:pPr>
        <w:rPr>
          <w:rFonts w:hint="eastAsia" w:ascii="宋体" w:hAnsi="宋体" w:eastAsia="宋体" w:cs="宋体"/>
        </w:rPr>
      </w:pPr>
    </w:p>
    <w:p w14:paraId="4C901C40">
      <w:pPr>
        <w:rPr>
          <w:rFonts w:hint="eastAsia" w:ascii="宋体" w:hAnsi="宋体" w:eastAsia="宋体" w:cs="宋体"/>
        </w:rPr>
      </w:pPr>
    </w:p>
    <w:p w14:paraId="448BACB6">
      <w:pPr>
        <w:rPr>
          <w:rFonts w:hint="eastAsia" w:ascii="宋体" w:hAnsi="宋体" w:eastAsia="宋体" w:cs="宋体"/>
        </w:rPr>
      </w:pPr>
    </w:p>
    <w:p w14:paraId="052CEE04">
      <w:pPr>
        <w:rPr>
          <w:rFonts w:hint="eastAsia" w:ascii="宋体" w:hAnsi="宋体" w:eastAsia="宋体" w:cs="宋体"/>
        </w:rPr>
      </w:pPr>
    </w:p>
    <w:p w14:paraId="501C5115">
      <w:pPr>
        <w:rPr>
          <w:rFonts w:hint="eastAsia" w:ascii="宋体" w:hAnsi="宋体" w:eastAsia="宋体" w:cs="宋体"/>
        </w:rPr>
      </w:pPr>
    </w:p>
    <w:p w14:paraId="265CD60A">
      <w:pPr>
        <w:rPr>
          <w:rFonts w:hint="eastAsia" w:ascii="宋体" w:hAnsi="宋体" w:eastAsia="宋体" w:cs="宋体"/>
        </w:rPr>
      </w:pPr>
    </w:p>
    <w:p w14:paraId="7BE719EB">
      <w:pPr>
        <w:rPr>
          <w:rFonts w:hint="eastAsia" w:ascii="宋体" w:hAnsi="宋体" w:eastAsia="宋体" w:cs="宋体"/>
        </w:rPr>
      </w:pPr>
    </w:p>
    <w:p w14:paraId="0061B9A8">
      <w:pPr>
        <w:rPr>
          <w:rFonts w:hint="eastAsia" w:ascii="宋体" w:hAnsi="宋体" w:eastAsia="宋体" w:cs="宋体"/>
        </w:rPr>
      </w:pPr>
    </w:p>
    <w:p w14:paraId="44D71725">
      <w:pPr>
        <w:rPr>
          <w:rFonts w:hint="eastAsia" w:ascii="宋体" w:hAnsi="宋体" w:eastAsia="宋体" w:cs="宋体"/>
        </w:rPr>
      </w:pPr>
    </w:p>
    <w:p w14:paraId="074B7BD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3" w:name="_Toc14035"/>
      <w:bookmarkStart w:id="84" w:name="_Toc14207"/>
      <w:bookmarkStart w:id="85"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3"/>
      <w:bookmarkEnd w:id="84"/>
      <w:bookmarkEnd w:id="85"/>
    </w:p>
    <w:p w14:paraId="69D29DDB">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143BF2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0CD8A7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4E5F5F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1864C9D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93DFA9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423420F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667B33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0E0DE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22B0A5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E02B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3FEF7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352D7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6AEBC94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00AE2B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56612FBB">
      <w:pPr>
        <w:pStyle w:val="24"/>
        <w:rPr>
          <w:rFonts w:hint="eastAsia" w:ascii="宋体" w:hAnsi="宋体" w:eastAsia="宋体" w:cs="宋体"/>
          <w:color w:val="auto"/>
          <w:sz w:val="24"/>
          <w:highlight w:val="none"/>
        </w:rPr>
      </w:pPr>
    </w:p>
    <w:p w14:paraId="21B215BF">
      <w:pPr>
        <w:pStyle w:val="24"/>
        <w:rPr>
          <w:rFonts w:hint="eastAsia" w:ascii="宋体" w:hAnsi="宋体" w:eastAsia="宋体" w:cs="宋体"/>
          <w:color w:val="auto"/>
          <w:sz w:val="24"/>
          <w:highlight w:val="none"/>
        </w:rPr>
      </w:pPr>
    </w:p>
    <w:p w14:paraId="7BD37EAD">
      <w:pPr>
        <w:ind w:firstLine="458" w:firstLineChars="200"/>
        <w:rPr>
          <w:rFonts w:hint="eastAsia" w:ascii="宋体" w:hAnsi="宋体" w:eastAsia="宋体" w:cs="宋体"/>
          <w:b/>
          <w:bCs/>
          <w:color w:val="auto"/>
          <w:spacing w:val="-6"/>
          <w:sz w:val="24"/>
          <w:highlight w:val="none"/>
          <w:lang w:eastAsia="zh-CN"/>
        </w:rPr>
      </w:pPr>
    </w:p>
    <w:p w14:paraId="05BEEFF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6" w:name="_Toc13537"/>
      <w:bookmarkStart w:id="87" w:name="_Toc14784"/>
      <w:bookmarkStart w:id="88"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86"/>
      <w:bookmarkEnd w:id="87"/>
      <w:bookmarkEnd w:id="88"/>
    </w:p>
    <w:p w14:paraId="444A922C">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23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56BA0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7D5D4AC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2EF46A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0E0095D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17C378F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AA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DE694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B199278">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0EA110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2165BE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性能参数：一项不响应扣1-2分。</w:t>
            </w:r>
          </w:p>
        </w:tc>
        <w:tc>
          <w:tcPr>
            <w:tcW w:w="1134" w:type="dxa"/>
            <w:tcMar>
              <w:left w:w="103" w:type="dxa"/>
            </w:tcMar>
            <w:vAlign w:val="center"/>
          </w:tcPr>
          <w:p w14:paraId="0DC3255B">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13BDFE94">
      <w:pPr>
        <w:spacing w:line="360" w:lineRule="auto"/>
        <w:jc w:val="both"/>
        <w:rPr>
          <w:rFonts w:hint="eastAsia" w:ascii="宋体" w:hAnsi="宋体" w:eastAsia="宋体" w:cs="宋体"/>
          <w:b/>
          <w:bCs/>
          <w:sz w:val="24"/>
        </w:rPr>
      </w:pPr>
    </w:p>
    <w:p w14:paraId="4D6C5512">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F704E0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43448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B9E1CF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47E31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DAFAA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E1919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29A1FCB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00D5F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3DFD6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22BBA2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86D95D">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84DFBF">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675B0376">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1AA796D">
            <w:pPr>
              <w:spacing w:line="360" w:lineRule="auto"/>
              <w:rPr>
                <w:rFonts w:hint="eastAsia" w:ascii="宋体" w:hAnsi="宋体" w:eastAsia="宋体" w:cs="宋体"/>
                <w:sz w:val="24"/>
                <w:szCs w:val="24"/>
              </w:rPr>
            </w:pPr>
          </w:p>
        </w:tc>
      </w:tr>
    </w:tbl>
    <w:p w14:paraId="72E789AD">
      <w:pPr>
        <w:pStyle w:val="15"/>
        <w:ind w:left="0" w:leftChars="0" w:firstLine="0" w:firstLineChars="0"/>
        <w:rPr>
          <w:rFonts w:hint="eastAsia" w:ascii="宋体" w:hAnsi="宋体" w:eastAsia="宋体" w:cs="宋体"/>
          <w:color w:val="auto"/>
        </w:rPr>
      </w:pPr>
    </w:p>
    <w:p w14:paraId="3DB0B6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564E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66E03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23A58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B3289AD">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173A6123">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1EF4307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7216"/>
      <w:bookmarkStart w:id="90" w:name="_Toc12820"/>
      <w:bookmarkStart w:id="91"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 xml:space="preserve">   五、技术要求</w:t>
      </w:r>
      <w:bookmarkEnd w:id="89"/>
      <w:bookmarkEnd w:id="90"/>
      <w:bookmarkEnd w:id="91"/>
    </w:p>
    <w:p w14:paraId="73DF5126">
      <w:pPr>
        <w:pStyle w:val="6"/>
        <w:spacing w:line="360" w:lineRule="auto"/>
        <w:rPr>
          <w:rFonts w:hint="default" w:ascii="宋体" w:hAnsi="宋体" w:eastAsia="宋体" w:cs="宋体"/>
          <w:b/>
          <w:bCs/>
          <w:color w:val="auto"/>
          <w:lang w:val="en-US" w:eastAsia="zh-CN"/>
        </w:rPr>
      </w:pPr>
      <w:r>
        <w:rPr>
          <w:rFonts w:hint="eastAsia" w:ascii="宋体" w:hAnsi="宋体" w:eastAsia="宋体" w:cs="宋体"/>
        </w:rPr>
        <w:t>投标人应满足</w:t>
      </w:r>
      <w:r>
        <w:rPr>
          <w:rFonts w:hint="eastAsia" w:cs="宋体"/>
          <w:lang w:val="en-US" w:eastAsia="zh-CN"/>
        </w:rPr>
        <w:t>产品国标</w:t>
      </w:r>
      <w:r>
        <w:rPr>
          <w:rFonts w:hint="eastAsia" w:ascii="宋体" w:hAnsi="宋体" w:eastAsia="宋体" w:cs="宋体"/>
        </w:rPr>
        <w:t>要求</w:t>
      </w:r>
      <w:r>
        <w:rPr>
          <w:rFonts w:hint="eastAsia" w:cs="宋体"/>
          <w:lang w:eastAsia="zh-CN"/>
        </w:rPr>
        <w:t>，</w:t>
      </w:r>
      <w:r>
        <w:rPr>
          <w:rFonts w:hint="eastAsia" w:cs="宋体"/>
          <w:lang w:val="en-US" w:eastAsia="zh-CN"/>
        </w:rPr>
        <w:t>详见附件2。</w:t>
      </w:r>
    </w:p>
    <w:p w14:paraId="00D82B6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C038623">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6C9EDB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001C24E">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FE43E24">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426A1F95">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pPr>
    </w:p>
    <w:p w14:paraId="0E03C4EA">
      <w:pPr>
        <w:spacing w:before="240" w:beforeLines="100" w:after="120" w:afterLines="50" w:line="360" w:lineRule="auto"/>
        <w:jc w:val="center"/>
        <w:outlineLvl w:val="0"/>
        <w:rPr>
          <w:rFonts w:ascii="仿宋" w:hAnsi="仿宋" w:eastAsia="仿宋" w:cs="仿宋"/>
          <w:b/>
          <w:bCs/>
          <w:sz w:val="40"/>
          <w:szCs w:val="40"/>
        </w:rPr>
      </w:pPr>
      <w:bookmarkStart w:id="92" w:name="_Toc31981"/>
      <w:bookmarkStart w:id="93" w:name="_Toc1084"/>
      <w:bookmarkStart w:id="94"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2"/>
      <w:bookmarkEnd w:id="93"/>
      <w:bookmarkEnd w:id="9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2B997686">
      <w:pPr>
        <w:spacing w:before="240" w:beforeLines="100" w:after="120" w:afterLines="50" w:line="360" w:lineRule="auto"/>
        <w:jc w:val="center"/>
        <w:outlineLvl w:val="0"/>
        <w:rPr>
          <w:rFonts w:hint="eastAsia" w:ascii="仿宋" w:hAnsi="仿宋" w:eastAsia="仿宋" w:cs="仿宋"/>
          <w:color w:val="000000"/>
          <w:kern w:val="0"/>
          <w:sz w:val="24"/>
          <w:lang w:val="zh-CN" w:eastAsia="zh-CN"/>
        </w:rPr>
      </w:pPr>
      <w:r>
        <w:rPr>
          <w:rFonts w:hint="eastAsia" w:ascii="宋体" w:hAnsi="宋体" w:eastAsia="宋体" w:cs="宋体"/>
          <w:spacing w:val="-3"/>
          <w:sz w:val="36"/>
          <w:szCs w:val="36"/>
          <w:lang w:val="zh-CN" w:eastAsia="zh-CN"/>
          <w14:textOutline w14:w="6527" w14:cap="flat" w14:cmpd="sng" w14:algn="ctr">
            <w14:solidFill>
              <w14:srgbClr w14:val="000000"/>
            </w14:solidFill>
            <w14:prstDash w14:val="solid"/>
            <w14:miter w14:val="0"/>
          </w14:textOutline>
        </w:rPr>
        <w:t>气动液压系列产品框架协议</w:t>
      </w:r>
      <w:r>
        <w:rPr>
          <w:rFonts w:hint="eastAsia" w:ascii="仿宋" w:hAnsi="仿宋" w:eastAsia="仿宋" w:cs="仿宋"/>
          <w:color w:val="000000"/>
          <w:kern w:val="0"/>
          <w:sz w:val="24"/>
          <w:lang w:val="zh-CN" w:eastAsia="zh-CN"/>
        </w:rPr>
        <w:t xml:space="preserve">                                          </w:t>
      </w:r>
    </w:p>
    <w:p w14:paraId="09EEA39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乙方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 xml:space="preserve">                   </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中国机械总院集团海西（福建）分院有限公司</w:t>
      </w:r>
      <w:r>
        <w:rPr>
          <w:rFonts w:hint="eastAsia" w:ascii="仿宋" w:hAnsi="仿宋" w:eastAsia="仿宋" w:cs="仿宋"/>
          <w:color w:val="000000"/>
          <w:kern w:val="0"/>
          <w:sz w:val="24"/>
          <w:lang w:val="zh-CN"/>
        </w:rPr>
        <w:t>　</w:t>
      </w:r>
    </w:p>
    <w:p w14:paraId="26063F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根据《中华人民共和国</w:t>
      </w:r>
      <w:r>
        <w:rPr>
          <w:rFonts w:hint="eastAsia" w:ascii="仿宋" w:hAnsi="仿宋" w:eastAsia="仿宋" w:cs="仿宋"/>
          <w:color w:val="000000"/>
          <w:kern w:val="0"/>
          <w:sz w:val="24"/>
          <w:lang w:val="zh-CN" w:eastAsia="zh-CN"/>
        </w:rPr>
        <w:t>民法典</w:t>
      </w:r>
      <w:r>
        <w:rPr>
          <w:rFonts w:hint="eastAsia" w:ascii="仿宋" w:hAnsi="仿宋" w:eastAsia="仿宋" w:cs="仿宋"/>
          <w:color w:val="000000"/>
          <w:kern w:val="0"/>
          <w:sz w:val="24"/>
          <w:lang w:val="zh-CN"/>
        </w:rPr>
        <w:t>》及其他有关法律、法规的规定，买卖双方在平等、自愿、公平、诚实信用的基础上达成</w:t>
      </w:r>
      <w:r>
        <w:rPr>
          <w:rFonts w:hint="eastAsia" w:ascii="仿宋" w:hAnsi="仿宋" w:eastAsia="仿宋" w:cs="仿宋"/>
          <w:color w:val="000000"/>
          <w:kern w:val="0"/>
          <w:sz w:val="24"/>
          <w:lang w:val="en-US" w:eastAsia="zh-CN"/>
        </w:rPr>
        <w:t>框架</w:t>
      </w:r>
      <w:r>
        <w:rPr>
          <w:rFonts w:hint="eastAsia" w:ascii="仿宋" w:hAnsi="仿宋" w:eastAsia="仿宋" w:cs="仿宋"/>
          <w:color w:val="000000"/>
          <w:kern w:val="0"/>
          <w:sz w:val="24"/>
          <w:lang w:val="zh-CN"/>
        </w:rPr>
        <w:t>协议如下：</w:t>
      </w:r>
    </w:p>
    <w:p w14:paraId="5539319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一、产品名称、型号、数量、金额、卖货时间及数量：</w:t>
      </w:r>
    </w:p>
    <w:tbl>
      <w:tblPr>
        <w:tblStyle w:val="1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19"/>
        <w:gridCol w:w="2730"/>
        <w:gridCol w:w="675"/>
        <w:gridCol w:w="690"/>
        <w:gridCol w:w="885"/>
        <w:gridCol w:w="1328"/>
      </w:tblGrid>
      <w:tr w14:paraId="30C4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4" w:type="dxa"/>
            <w:noWrap w:val="0"/>
            <w:vAlign w:val="center"/>
          </w:tcPr>
          <w:p w14:paraId="740BE12A">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序号</w:t>
            </w:r>
          </w:p>
        </w:tc>
        <w:tc>
          <w:tcPr>
            <w:tcW w:w="1719" w:type="dxa"/>
            <w:noWrap w:val="0"/>
            <w:vAlign w:val="center"/>
          </w:tcPr>
          <w:p w14:paraId="6E8C3C1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名称</w:t>
            </w:r>
          </w:p>
        </w:tc>
        <w:tc>
          <w:tcPr>
            <w:tcW w:w="2730" w:type="dxa"/>
            <w:noWrap w:val="0"/>
            <w:vAlign w:val="center"/>
          </w:tcPr>
          <w:p w14:paraId="41B1353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型号</w:t>
            </w:r>
          </w:p>
        </w:tc>
        <w:tc>
          <w:tcPr>
            <w:tcW w:w="675" w:type="dxa"/>
            <w:noWrap w:val="0"/>
            <w:vAlign w:val="center"/>
          </w:tcPr>
          <w:p w14:paraId="4C091A93">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单位</w:t>
            </w:r>
          </w:p>
        </w:tc>
        <w:tc>
          <w:tcPr>
            <w:tcW w:w="690" w:type="dxa"/>
            <w:noWrap w:val="0"/>
            <w:vAlign w:val="center"/>
          </w:tcPr>
          <w:p w14:paraId="5875CB9E">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数量</w:t>
            </w:r>
          </w:p>
        </w:tc>
        <w:tc>
          <w:tcPr>
            <w:tcW w:w="885" w:type="dxa"/>
            <w:noWrap w:val="0"/>
            <w:vAlign w:val="center"/>
          </w:tcPr>
          <w:p w14:paraId="4FC0E82B">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单价</w:t>
            </w:r>
          </w:p>
        </w:tc>
        <w:tc>
          <w:tcPr>
            <w:tcW w:w="1328" w:type="dxa"/>
            <w:noWrap w:val="0"/>
            <w:vAlign w:val="center"/>
          </w:tcPr>
          <w:p w14:paraId="5C3AE5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备注</w:t>
            </w:r>
          </w:p>
        </w:tc>
      </w:tr>
      <w:tr w14:paraId="257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005373C0">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1</w:t>
            </w:r>
          </w:p>
        </w:tc>
        <w:tc>
          <w:tcPr>
            <w:tcW w:w="1719" w:type="dxa"/>
            <w:noWrap w:val="0"/>
            <w:vAlign w:val="center"/>
          </w:tcPr>
          <w:p w14:paraId="0FFC67B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3FC10C5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5659202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00CC31F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1E37623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32AD54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2875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308E1F03">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2</w:t>
            </w:r>
          </w:p>
        </w:tc>
        <w:tc>
          <w:tcPr>
            <w:tcW w:w="1719" w:type="dxa"/>
            <w:noWrap w:val="0"/>
            <w:vAlign w:val="center"/>
          </w:tcPr>
          <w:p w14:paraId="1CBF9C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12547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46C8292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2DA2EFE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DD86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261D548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3F3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4BAFF439">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3</w:t>
            </w:r>
          </w:p>
        </w:tc>
        <w:tc>
          <w:tcPr>
            <w:tcW w:w="1719" w:type="dxa"/>
            <w:noWrap w:val="0"/>
            <w:vAlign w:val="center"/>
          </w:tcPr>
          <w:p w14:paraId="55712A7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0BD575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0CCEC60A">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1D21B01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2D035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5E21639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bl>
    <w:p w14:paraId="26DEB10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rPr>
        <w:t>以上价格为含税含运费（</w:t>
      </w:r>
      <w:r>
        <w:rPr>
          <w:rFonts w:hint="eastAsia" w:ascii="仿宋" w:hAnsi="仿宋" w:eastAsia="仿宋" w:cs="仿宋"/>
          <w:color w:val="000000"/>
          <w:kern w:val="0"/>
          <w:sz w:val="24"/>
          <w:lang w:val="zh-CN" w:eastAsia="zh-CN"/>
        </w:rPr>
        <w:t>13</w:t>
      </w:r>
      <w:r>
        <w:rPr>
          <w:rFonts w:hint="eastAsia" w:ascii="仿宋" w:hAnsi="仿宋" w:eastAsia="仿宋" w:cs="仿宋"/>
          <w:color w:val="000000"/>
          <w:kern w:val="0"/>
          <w:sz w:val="24"/>
          <w:lang w:val="zh-CN"/>
        </w:rPr>
        <w:t>%一票制）到厂价格</w:t>
      </w:r>
      <w:r>
        <w:rPr>
          <w:rFonts w:hint="eastAsia" w:ascii="仿宋" w:hAnsi="仿宋" w:eastAsia="仿宋" w:cs="仿宋"/>
          <w:color w:val="000000"/>
          <w:kern w:val="0"/>
          <w:sz w:val="24"/>
          <w:lang w:val="zh-CN" w:eastAsia="zh-CN"/>
        </w:rPr>
        <w:t>。</w:t>
      </w:r>
    </w:p>
    <w:p w14:paraId="268A017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lang w:val="zh-CN" w:eastAsia="zh-CN"/>
        </w:rPr>
        <w:t>框架协议有效期2025年3月1日至2026年3月1日。</w:t>
      </w:r>
    </w:p>
    <w:p w14:paraId="3DA416B6">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三、</w:t>
      </w:r>
      <w:r>
        <w:rPr>
          <w:rFonts w:hint="eastAsia" w:ascii="仿宋" w:hAnsi="仿宋" w:eastAsia="仿宋" w:cs="仿宋"/>
          <w:color w:val="000000"/>
          <w:kern w:val="0"/>
          <w:sz w:val="24"/>
          <w:lang w:val="zh-CN"/>
        </w:rPr>
        <w:t>产品技术指标要求：按国家相关标准。</w:t>
      </w:r>
      <w:r>
        <w:rPr>
          <w:rFonts w:hint="eastAsia" w:ascii="仿宋" w:hAnsi="仿宋" w:eastAsia="仿宋" w:cs="仿宋"/>
          <w:color w:val="000000"/>
          <w:kern w:val="0"/>
          <w:sz w:val="24"/>
          <w:lang w:val="zh-CN" w:eastAsia="zh-CN"/>
        </w:rPr>
        <w:t>产品质保期为最终验收之日起12个月，假一罚十。</w:t>
      </w:r>
    </w:p>
    <w:p w14:paraId="57ACEB4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2D8B9323">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5B8A92F6">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38E8865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36534C54">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3、产品交接：</w:t>
      </w:r>
    </w:p>
    <w:p w14:paraId="3F643B9B">
      <w:pPr>
        <w:keepNext w:val="0"/>
        <w:keepLines w:val="0"/>
        <w:pageBreakBefore w:val="0"/>
        <w:kinsoku/>
        <w:wordWrap/>
        <w:overflowPunct/>
        <w:topLinePunct w:val="0"/>
        <w:bidi w:val="0"/>
        <w:spacing w:line="420" w:lineRule="exact"/>
        <w:ind w:firstLine="480" w:firstLineChars="200"/>
        <w:rPr>
          <w:rFonts w:hint="eastAsia" w:ascii="仿宋" w:hAnsi="仿宋" w:eastAsia="仿宋" w:cs="仿宋"/>
          <w:b/>
          <w:bCs/>
          <w:color w:val="000000"/>
          <w:kern w:val="0"/>
          <w:sz w:val="24"/>
          <w:lang w:val="en-US" w:eastAsia="zh-CN"/>
        </w:rPr>
      </w:pPr>
      <w:r>
        <w:rPr>
          <w:rFonts w:hint="eastAsia" w:ascii="仿宋" w:hAnsi="仿宋" w:eastAsia="仿宋" w:cs="仿宋"/>
          <w:color w:val="000000"/>
          <w:kern w:val="0"/>
          <w:sz w:val="24"/>
          <w:lang w:val="en-US" w:eastAsia="zh-CN"/>
        </w:rPr>
        <w:t>甲方根据产品交接清单清点数量，检查产品外观质量。数量清点当场验收，质量验收以检测结果为准，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462A60B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四、</w:t>
      </w:r>
      <w:r>
        <w:rPr>
          <w:rFonts w:hint="eastAsia" w:ascii="仿宋" w:hAnsi="仿宋" w:eastAsia="仿宋" w:cs="仿宋"/>
          <w:color w:val="000000"/>
          <w:kern w:val="0"/>
          <w:sz w:val="24"/>
          <w:lang w:val="zh-CN" w:eastAsia="zh-CN"/>
        </w:rPr>
        <w:t>协议以外的产品初次按询价下订单，再次采购同等类型的以初次价格为准下单。</w:t>
      </w:r>
    </w:p>
    <w:p w14:paraId="29F011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五、</w:t>
      </w:r>
      <w:r>
        <w:rPr>
          <w:rFonts w:hint="eastAsia" w:ascii="仿宋" w:hAnsi="仿宋" w:eastAsia="仿宋" w:cs="仿宋"/>
          <w:color w:val="000000"/>
          <w:kern w:val="0"/>
          <w:sz w:val="24"/>
          <w:lang w:val="zh-CN" w:eastAsia="zh-CN"/>
        </w:rPr>
        <w:t xml:space="preserve">价格随行就市，如材料价格有变化时以双方签章的价格确认单为准，如幅度超过2%提前告知，需要提供书面材料进行调整单价，否则以协议价格成交，需方将不定期抽查协议产品价格，保障价格公允性。 </w:t>
      </w:r>
    </w:p>
    <w:p w14:paraId="2D68B306">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六、</w:t>
      </w:r>
      <w:r>
        <w:rPr>
          <w:rFonts w:hint="eastAsia" w:ascii="仿宋" w:hAnsi="仿宋" w:eastAsia="仿宋" w:cs="仿宋"/>
          <w:color w:val="000000"/>
          <w:kern w:val="0"/>
          <w:sz w:val="24"/>
          <w:lang w:val="zh-CN" w:eastAsia="zh-CN"/>
        </w:rPr>
        <w:t>对账周期及对账方式：次月25号以采购订单、对账单、发票等结算上月采购费用，</w:t>
      </w:r>
      <w:r>
        <w:rPr>
          <w:rFonts w:hint="eastAsia" w:ascii="仿宋" w:hAnsi="仿宋" w:eastAsia="仿宋" w:cs="仿宋"/>
          <w:color w:val="000000"/>
          <w:kern w:val="0"/>
          <w:sz w:val="24"/>
          <w:u w:val="single"/>
          <w:lang w:val="zh-CN" w:eastAsia="zh-CN"/>
        </w:rPr>
        <w:t>电汇</w:t>
      </w:r>
      <w:r>
        <w:rPr>
          <w:rFonts w:hint="eastAsia" w:ascii="仿宋" w:hAnsi="仿宋" w:eastAsia="仿宋" w:cs="仿宋"/>
          <w:color w:val="000000"/>
          <w:kern w:val="0"/>
          <w:sz w:val="24"/>
          <w:lang w:val="zh-CN" w:eastAsia="zh-CN"/>
        </w:rPr>
        <w:t>或</w:t>
      </w:r>
      <w:r>
        <w:rPr>
          <w:rFonts w:hint="eastAsia" w:ascii="仿宋" w:hAnsi="仿宋" w:eastAsia="仿宋" w:cs="仿宋"/>
          <w:color w:val="000000"/>
          <w:kern w:val="0"/>
          <w:sz w:val="24"/>
          <w:u w:val="single"/>
          <w:lang w:val="zh-CN" w:eastAsia="zh-CN"/>
        </w:rPr>
        <w:t>银行承兑</w:t>
      </w:r>
      <w:r>
        <w:rPr>
          <w:rFonts w:hint="eastAsia" w:ascii="仿宋" w:hAnsi="仿宋" w:eastAsia="仿宋" w:cs="仿宋"/>
          <w:color w:val="000000"/>
          <w:kern w:val="0"/>
          <w:sz w:val="24"/>
          <w:lang w:val="zh-CN" w:eastAsia="zh-CN"/>
        </w:rPr>
        <w:t>支付货款。由于供方开具发票不真实、不合格而引起的一切责任（包括商业责任和法律责任)和损失，由供方承担。</w:t>
      </w:r>
    </w:p>
    <w:p w14:paraId="0502A71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七、</w:t>
      </w:r>
      <w:r>
        <w:rPr>
          <w:rFonts w:hint="eastAsia" w:ascii="仿宋" w:hAnsi="仿宋" w:eastAsia="仿宋" w:cs="仿宋"/>
          <w:color w:val="000000"/>
          <w:kern w:val="0"/>
          <w:sz w:val="24"/>
          <w:lang w:val="zh-CN" w:eastAsia="zh-CN"/>
        </w:rPr>
        <w:t>交货时间及交提货地点、方式：</w:t>
      </w:r>
    </w:p>
    <w:p w14:paraId="576DE58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eastAsia="zh-CN"/>
        </w:rPr>
        <w:t>供方自订单确认后，分批次按需方需求时间送达。</w:t>
      </w:r>
    </w:p>
    <w:p w14:paraId="05B3358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2、供方负责送货至需方指定地点。</w:t>
      </w:r>
    </w:p>
    <w:p w14:paraId="1E1CF8C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八、</w:t>
      </w:r>
      <w:r>
        <w:rPr>
          <w:rFonts w:hint="eastAsia" w:ascii="仿宋" w:hAnsi="仿宋" w:eastAsia="仿宋" w:cs="仿宋"/>
          <w:color w:val="000000"/>
          <w:kern w:val="0"/>
          <w:sz w:val="24"/>
          <w:lang w:val="zh-CN"/>
        </w:rPr>
        <w:t>验货：产品到货之日起</w:t>
      </w:r>
      <w:r>
        <w:rPr>
          <w:rFonts w:hint="eastAsia" w:ascii="仿宋" w:hAnsi="仿宋" w:eastAsia="仿宋" w:cs="仿宋"/>
          <w:color w:val="000000"/>
          <w:kern w:val="0"/>
          <w:sz w:val="24"/>
          <w:lang w:val="zh-CN" w:eastAsia="zh-CN"/>
        </w:rPr>
        <w:t>10</w:t>
      </w:r>
      <w:r>
        <w:rPr>
          <w:rFonts w:hint="eastAsia" w:ascii="仿宋" w:hAnsi="仿宋" w:eastAsia="仿宋" w:cs="仿宋"/>
          <w:color w:val="000000"/>
          <w:kern w:val="0"/>
          <w:sz w:val="24"/>
          <w:lang w:val="zh-CN"/>
        </w:rPr>
        <w:t>日内，需方认为存在质量问题、规格与数量不一致的，应当及时通知供方，否则视为合格；不合格品应立即联系供方协调解决方案。</w:t>
      </w:r>
    </w:p>
    <w:p w14:paraId="1DA2C7B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九、</w:t>
      </w:r>
      <w:r>
        <w:rPr>
          <w:rFonts w:hint="eastAsia" w:ascii="仿宋" w:hAnsi="仿宋" w:eastAsia="仿宋" w:cs="仿宋"/>
          <w:color w:val="000000"/>
          <w:kern w:val="0"/>
          <w:sz w:val="24"/>
          <w:lang w:val="zh-CN"/>
        </w:rPr>
        <w:t>争议解决方式：本合同项下发生的争议，双方应</w:t>
      </w:r>
      <w:r>
        <w:rPr>
          <w:rFonts w:hint="eastAsia" w:ascii="仿宋" w:hAnsi="仿宋" w:eastAsia="仿宋" w:cs="仿宋"/>
          <w:color w:val="000000"/>
          <w:kern w:val="0"/>
          <w:sz w:val="24"/>
          <w:lang w:val="zh-CN" w:eastAsia="zh-CN"/>
        </w:rPr>
        <w:t>友好</w:t>
      </w:r>
      <w:r>
        <w:rPr>
          <w:rFonts w:hint="eastAsia" w:ascii="仿宋" w:hAnsi="仿宋" w:eastAsia="仿宋" w:cs="仿宋"/>
          <w:color w:val="000000"/>
          <w:kern w:val="0"/>
          <w:sz w:val="24"/>
          <w:lang w:val="zh-CN"/>
        </w:rPr>
        <w:t>协商解决，协商不成</w:t>
      </w:r>
      <w:r>
        <w:rPr>
          <w:rFonts w:hint="eastAsia" w:ascii="仿宋" w:hAnsi="仿宋" w:eastAsia="仿宋" w:cs="仿宋"/>
          <w:color w:val="000000"/>
          <w:kern w:val="0"/>
          <w:sz w:val="24"/>
          <w:lang w:val="zh-CN" w:eastAsia="zh-CN"/>
        </w:rPr>
        <w:t>，由三明市沙县区人民法院管辖</w:t>
      </w:r>
      <w:r>
        <w:rPr>
          <w:rFonts w:hint="eastAsia" w:ascii="仿宋" w:hAnsi="仿宋" w:eastAsia="仿宋" w:cs="仿宋"/>
          <w:color w:val="000000"/>
          <w:kern w:val="0"/>
          <w:sz w:val="24"/>
          <w:lang w:val="zh-CN"/>
        </w:rPr>
        <w:t>。违约方承担守约方</w:t>
      </w:r>
      <w:r>
        <w:rPr>
          <w:rFonts w:hint="eastAsia" w:ascii="仿宋" w:hAnsi="仿宋" w:eastAsia="仿宋" w:cs="仿宋"/>
          <w:color w:val="000000"/>
          <w:kern w:val="0"/>
          <w:sz w:val="24"/>
          <w:lang w:val="zh-CN" w:eastAsia="zh-CN"/>
        </w:rPr>
        <w:t>的损失中还应</w:t>
      </w:r>
      <w:r>
        <w:rPr>
          <w:rFonts w:hint="eastAsia" w:ascii="仿宋" w:hAnsi="仿宋" w:eastAsia="仿宋" w:cs="仿宋"/>
          <w:color w:val="000000"/>
          <w:kern w:val="0"/>
          <w:sz w:val="24"/>
          <w:lang w:val="zh-CN"/>
        </w:rPr>
        <w:t>包括但不限于律师费、诉讼费、保全费</w:t>
      </w:r>
      <w:r>
        <w:rPr>
          <w:rFonts w:hint="eastAsia" w:ascii="仿宋" w:hAnsi="仿宋" w:eastAsia="仿宋" w:cs="仿宋"/>
          <w:color w:val="000000"/>
          <w:kern w:val="0"/>
          <w:sz w:val="24"/>
          <w:lang w:val="zh-CN" w:eastAsia="zh-CN"/>
        </w:rPr>
        <w:t>及保险费</w:t>
      </w:r>
      <w:r>
        <w:rPr>
          <w:rFonts w:hint="eastAsia" w:ascii="仿宋" w:hAnsi="仿宋" w:eastAsia="仿宋" w:cs="仿宋"/>
          <w:color w:val="000000"/>
          <w:kern w:val="0"/>
          <w:sz w:val="24"/>
          <w:lang w:val="zh-CN"/>
        </w:rPr>
        <w:t>、评估费、鉴定费等。</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贰</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壹</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6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A79">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D19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87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3760470" cy="436245"/>
          <wp:effectExtent l="0" t="0" r="11430" b="1905"/>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3760470" cy="4362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51ECC7"/>
    <w:multiLevelType w:val="singleLevel"/>
    <w:tmpl w:val="3451ECC7"/>
    <w:lvl w:ilvl="0" w:tentative="0">
      <w:start w:val="5"/>
      <w:numFmt w:val="chineseCounting"/>
      <w:suff w:val="nothing"/>
      <w:lvlText w:val="%1、"/>
      <w:lvlJc w:val="left"/>
      <w:rPr>
        <w:rFonts w:hint="eastAsia"/>
      </w:rPr>
    </w:lvl>
  </w:abstractNum>
  <w:abstractNum w:abstractNumId="2">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418F0"/>
    <w:rsid w:val="031A62F1"/>
    <w:rsid w:val="063D2047"/>
    <w:rsid w:val="06555C4C"/>
    <w:rsid w:val="06BF6017"/>
    <w:rsid w:val="06DF3FC3"/>
    <w:rsid w:val="082216E1"/>
    <w:rsid w:val="087052F4"/>
    <w:rsid w:val="08E31B8A"/>
    <w:rsid w:val="09CD44CE"/>
    <w:rsid w:val="09D04BEB"/>
    <w:rsid w:val="0B3D3052"/>
    <w:rsid w:val="0BD75BB1"/>
    <w:rsid w:val="0C97306B"/>
    <w:rsid w:val="0C9E047D"/>
    <w:rsid w:val="0D3C1DC3"/>
    <w:rsid w:val="0D6016F8"/>
    <w:rsid w:val="0E0137ED"/>
    <w:rsid w:val="0F184516"/>
    <w:rsid w:val="0F250043"/>
    <w:rsid w:val="0F3A0E41"/>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CF21C06"/>
    <w:rsid w:val="1D406077"/>
    <w:rsid w:val="1F9B0ADF"/>
    <w:rsid w:val="1F9C44B8"/>
    <w:rsid w:val="1FC00470"/>
    <w:rsid w:val="213B2D65"/>
    <w:rsid w:val="21B93A0F"/>
    <w:rsid w:val="21B97B04"/>
    <w:rsid w:val="22161631"/>
    <w:rsid w:val="22345F2D"/>
    <w:rsid w:val="223760ED"/>
    <w:rsid w:val="229A5157"/>
    <w:rsid w:val="22F1792F"/>
    <w:rsid w:val="23C06ACA"/>
    <w:rsid w:val="23C16AD3"/>
    <w:rsid w:val="23DF21DE"/>
    <w:rsid w:val="24087AE2"/>
    <w:rsid w:val="25AA61E8"/>
    <w:rsid w:val="27906EE4"/>
    <w:rsid w:val="27982C85"/>
    <w:rsid w:val="28413868"/>
    <w:rsid w:val="28845678"/>
    <w:rsid w:val="28872C4F"/>
    <w:rsid w:val="28AB7D51"/>
    <w:rsid w:val="29156767"/>
    <w:rsid w:val="29BA649E"/>
    <w:rsid w:val="29DE5491"/>
    <w:rsid w:val="2A071D31"/>
    <w:rsid w:val="2A267F2C"/>
    <w:rsid w:val="2C01798C"/>
    <w:rsid w:val="2C4404C1"/>
    <w:rsid w:val="2C7C594D"/>
    <w:rsid w:val="2CBE77C5"/>
    <w:rsid w:val="2CD14227"/>
    <w:rsid w:val="2EA636D0"/>
    <w:rsid w:val="2F8512FC"/>
    <w:rsid w:val="302A1EA4"/>
    <w:rsid w:val="30943860"/>
    <w:rsid w:val="374B4BD9"/>
    <w:rsid w:val="38557A9F"/>
    <w:rsid w:val="38970585"/>
    <w:rsid w:val="3A4A73CA"/>
    <w:rsid w:val="3BF70A06"/>
    <w:rsid w:val="3C440F6E"/>
    <w:rsid w:val="3DCC7449"/>
    <w:rsid w:val="3DE83A67"/>
    <w:rsid w:val="42BD2F8E"/>
    <w:rsid w:val="435B1499"/>
    <w:rsid w:val="440A6827"/>
    <w:rsid w:val="45976840"/>
    <w:rsid w:val="47100713"/>
    <w:rsid w:val="474C1085"/>
    <w:rsid w:val="474C1DDB"/>
    <w:rsid w:val="47CF038E"/>
    <w:rsid w:val="48B325A9"/>
    <w:rsid w:val="49203109"/>
    <w:rsid w:val="4A7A55DF"/>
    <w:rsid w:val="4ABB39CC"/>
    <w:rsid w:val="4B5E45B8"/>
    <w:rsid w:val="4BF71DFE"/>
    <w:rsid w:val="4C0E5B77"/>
    <w:rsid w:val="4C25253E"/>
    <w:rsid w:val="4CF0110C"/>
    <w:rsid w:val="4D5452E5"/>
    <w:rsid w:val="4DC57782"/>
    <w:rsid w:val="4DF810AC"/>
    <w:rsid w:val="4E772300"/>
    <w:rsid w:val="4FC652ED"/>
    <w:rsid w:val="4FF456D9"/>
    <w:rsid w:val="50054BB6"/>
    <w:rsid w:val="500951DA"/>
    <w:rsid w:val="50390222"/>
    <w:rsid w:val="53DA53DB"/>
    <w:rsid w:val="543A1E06"/>
    <w:rsid w:val="551A4CAF"/>
    <w:rsid w:val="55CA11C1"/>
    <w:rsid w:val="5621082A"/>
    <w:rsid w:val="56625644"/>
    <w:rsid w:val="56B90D23"/>
    <w:rsid w:val="58324C4B"/>
    <w:rsid w:val="589F2DDF"/>
    <w:rsid w:val="5A13454B"/>
    <w:rsid w:val="5D2574A1"/>
    <w:rsid w:val="5D294756"/>
    <w:rsid w:val="5DC2080A"/>
    <w:rsid w:val="5F6B1E45"/>
    <w:rsid w:val="5FC078B7"/>
    <w:rsid w:val="5FC357B3"/>
    <w:rsid w:val="62951F99"/>
    <w:rsid w:val="64032E7A"/>
    <w:rsid w:val="646451EA"/>
    <w:rsid w:val="65B23EF2"/>
    <w:rsid w:val="65D57105"/>
    <w:rsid w:val="67FF3F88"/>
    <w:rsid w:val="68827667"/>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C92B1D"/>
    <w:rsid w:val="72D07765"/>
    <w:rsid w:val="73830C7C"/>
    <w:rsid w:val="738642C8"/>
    <w:rsid w:val="73DA76D3"/>
    <w:rsid w:val="7435205E"/>
    <w:rsid w:val="750A0CFF"/>
    <w:rsid w:val="77687477"/>
    <w:rsid w:val="778D3071"/>
    <w:rsid w:val="77BA6C36"/>
    <w:rsid w:val="78E77DBC"/>
    <w:rsid w:val="78EE6CAC"/>
    <w:rsid w:val="796E7CD8"/>
    <w:rsid w:val="79D42231"/>
    <w:rsid w:val="79F214BE"/>
    <w:rsid w:val="7A7953A0"/>
    <w:rsid w:val="7AED01B2"/>
    <w:rsid w:val="7B2C1BF9"/>
    <w:rsid w:val="7C603C27"/>
    <w:rsid w:val="7D691CDB"/>
    <w:rsid w:val="7D7D6E7C"/>
    <w:rsid w:val="7EBD3628"/>
    <w:rsid w:val="7F030EC6"/>
    <w:rsid w:val="7FB328E9"/>
    <w:rsid w:val="7FD142C1"/>
    <w:rsid w:val="7FFE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标题 1 Char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2818</Words>
  <Characters>2948</Characters>
  <Lines>28</Lines>
  <Paragraphs>7</Paragraphs>
  <TotalTime>5</TotalTime>
  <ScaleCrop>false</ScaleCrop>
  <LinksUpToDate>false</LinksUpToDate>
  <CharactersWithSpaces>3018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2024-09-09T08:00:00Z</cp:lastPrinted>
  <dcterms:modified xsi:type="dcterms:W3CDTF">2025-02-11T09:28:45Z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8B1ED25CFBDA4766BB63A88E2C69E21C_13</vt:lpwstr>
  </property>
  <property fmtid="{D5CDD505-2E9C-101B-9397-08002B2CF9AE}" pid="4" name="KSOTemplateDocerSaveRecord">
    <vt:lpwstr>eyJoZGlkIjoiYWNiNGI2MzhjZDk2YTMxYzBkZDI0OTRmYTEyZDAyYjMiLCJ1c2VySWQiOiI2MTQ5NjUzNzQifQ==</vt:lpwstr>
  </property>
</Properties>
</file>