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3" w:line="185" w:lineRule="auto"/>
        <w:jc w:val="center"/>
        <w:outlineLvl w:val="0"/>
        <w:rPr>
          <w:rFonts w:hint="eastAsia" w:ascii="宋体" w:hAnsi="宋体" w:eastAsia="宋体" w:cs="宋体"/>
          <w:b/>
          <w:bCs/>
          <w:spacing w:val="-3"/>
          <w:sz w:val="36"/>
          <w:szCs w:val="36"/>
        </w:rPr>
      </w:pPr>
      <w:bookmarkStart w:id="0" w:name="_Toc137485312"/>
    </w:p>
    <w:bookmarkEnd w:id="0"/>
    <w:p>
      <w:pPr>
        <w:spacing w:before="240" w:beforeLines="100" w:line="360" w:lineRule="auto"/>
        <w:jc w:val="center"/>
        <w:outlineLvl w:val="0"/>
        <w:rPr>
          <w:rFonts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附件：技术要求</w:t>
      </w:r>
    </w:p>
    <w:p>
      <w:pPr>
        <w:pStyle w:val="10"/>
        <w:widowControl w:val="0"/>
        <w:numPr>
          <w:ilvl w:val="1"/>
          <w:numId w:val="1"/>
        </w:numPr>
        <w:kinsoku/>
        <w:spacing w:line="360" w:lineRule="auto"/>
        <w:ind w:firstLineChars="0"/>
        <w:rPr>
          <w:rFonts w:hint="eastAsia" w:ascii="宋体" w:hAnsi="宋体" w:eastAsia="宋体" w:cs="宋体"/>
          <w:color w:val="auto"/>
          <w:sz w:val="24"/>
          <w:szCs w:val="24"/>
          <w:lang w:eastAsia="zh-CN"/>
        </w:rPr>
      </w:pPr>
      <w:bookmarkStart w:id="1" w:name="_Toc32918531"/>
      <w:bookmarkEnd w:id="1"/>
      <w:r>
        <w:rPr>
          <w:rFonts w:hint="eastAsia" w:ascii="宋体" w:hAnsi="宋体" w:eastAsia="宋体" w:cs="宋体"/>
          <w:b/>
          <w:sz w:val="24"/>
          <w:szCs w:val="24"/>
        </w:rPr>
        <w:t>设备概况</w:t>
      </w:r>
    </w:p>
    <w:p>
      <w:pPr>
        <w:pStyle w:val="10"/>
        <w:widowControl w:val="0"/>
        <w:numPr>
          <w:ilvl w:val="1"/>
          <w:numId w:val="1"/>
        </w:numPr>
        <w:kinsoku/>
        <w:spacing w:line="360" w:lineRule="auto"/>
        <w:ind w:firstLineChars="0"/>
        <w:rPr>
          <w:rFonts w:ascii="宋体" w:hAnsi="宋体" w:eastAsia="宋体" w:cs="宋体"/>
          <w:sz w:val="24"/>
          <w:szCs w:val="24"/>
        </w:rPr>
      </w:pPr>
      <w:r>
        <w:rPr>
          <w:rFonts w:hint="eastAsia" w:ascii="宋体" w:hAnsi="宋体" w:eastAsia="宋体" w:cs="宋体"/>
          <w:color w:val="auto"/>
          <w:sz w:val="24"/>
          <w:szCs w:val="24"/>
          <w:lang w:eastAsia="zh-CN"/>
        </w:rPr>
        <w:t>设备名称：精密雕铣机</w:t>
      </w:r>
    </w:p>
    <w:p>
      <w:pPr>
        <w:pStyle w:val="10"/>
        <w:widowControl w:val="0"/>
        <w:numPr>
          <w:ilvl w:val="1"/>
          <w:numId w:val="1"/>
        </w:numPr>
        <w:kinsoku/>
        <w:spacing w:line="360" w:lineRule="auto"/>
        <w:ind w:firstLineChars="0"/>
        <w:rPr>
          <w:rFonts w:ascii="宋体" w:hAnsi="宋体" w:eastAsia="宋体" w:cs="宋体"/>
          <w:sz w:val="24"/>
          <w:szCs w:val="24"/>
        </w:rPr>
      </w:pPr>
      <w:r>
        <w:rPr>
          <w:rFonts w:hint="eastAsia" w:ascii="宋体" w:hAnsi="宋体" w:eastAsia="宋体" w:cs="宋体"/>
          <w:sz w:val="24"/>
          <w:szCs w:val="24"/>
        </w:rPr>
        <w:t>数量：</w:t>
      </w:r>
      <w:r>
        <w:rPr>
          <w:rFonts w:hint="eastAsia" w:ascii="宋体" w:hAnsi="宋体" w:eastAsia="宋体" w:cs="宋体"/>
          <w:sz w:val="24"/>
          <w:szCs w:val="24"/>
          <w:lang w:val="en-US" w:eastAsia="zh-CN"/>
        </w:rPr>
        <w:t>2</w:t>
      </w:r>
      <w:r>
        <w:rPr>
          <w:rFonts w:hint="eastAsia" w:ascii="宋体" w:hAnsi="宋体" w:eastAsia="宋体" w:cs="宋体"/>
          <w:sz w:val="24"/>
          <w:szCs w:val="24"/>
        </w:rPr>
        <w:t>台</w:t>
      </w:r>
    </w:p>
    <w:p>
      <w:pPr>
        <w:pStyle w:val="10"/>
        <w:widowControl w:val="0"/>
        <w:numPr>
          <w:ilvl w:val="1"/>
          <w:numId w:val="1"/>
        </w:numPr>
        <w:kinsoku/>
        <w:spacing w:line="360" w:lineRule="auto"/>
        <w:ind w:firstLineChars="0"/>
        <w:rPr>
          <w:rFonts w:ascii="宋体" w:hAnsi="宋体" w:eastAsia="宋体" w:cs="宋体"/>
          <w:sz w:val="24"/>
          <w:szCs w:val="24"/>
        </w:rPr>
      </w:pPr>
      <w:r>
        <w:rPr>
          <w:rFonts w:hint="eastAsia" w:ascii="宋体" w:hAnsi="宋体" w:eastAsia="宋体" w:cs="宋体"/>
          <w:sz w:val="24"/>
          <w:szCs w:val="24"/>
        </w:rPr>
        <w:t>使用环境：</w:t>
      </w:r>
      <w:r>
        <w:rPr>
          <w:rFonts w:hint="eastAsia" w:ascii="宋体" w:hAnsi="宋体" w:eastAsia="宋体" w:cs="宋体"/>
          <w:sz w:val="24"/>
          <w:szCs w:val="24"/>
          <w:lang w:val="en-US" w:eastAsia="zh-CN"/>
        </w:rPr>
        <w:t>石墨、粉尘</w:t>
      </w:r>
      <w:r>
        <w:rPr>
          <w:rFonts w:hint="eastAsia" w:ascii="宋体" w:hAnsi="宋体" w:eastAsia="宋体" w:cs="宋体"/>
          <w:sz w:val="24"/>
          <w:szCs w:val="24"/>
        </w:rPr>
        <w:t>等</w:t>
      </w:r>
      <w:r>
        <w:rPr>
          <w:rFonts w:hint="eastAsia" w:ascii="宋体" w:hAnsi="宋体" w:eastAsia="宋体" w:cs="宋体"/>
          <w:sz w:val="24"/>
          <w:szCs w:val="24"/>
          <w:lang w:val="en-US" w:eastAsia="zh-CN"/>
        </w:rPr>
        <w:t>非</w:t>
      </w:r>
      <w:r>
        <w:rPr>
          <w:rFonts w:hint="eastAsia" w:ascii="宋体" w:hAnsi="宋体" w:eastAsia="宋体" w:cs="宋体"/>
          <w:sz w:val="24"/>
          <w:szCs w:val="24"/>
        </w:rPr>
        <w:t>金属材料；环境温度-</w:t>
      </w:r>
      <w:r>
        <w:rPr>
          <w:rFonts w:hint="eastAsia" w:ascii="宋体" w:hAnsi="宋体" w:eastAsia="宋体" w:cs="宋体"/>
          <w:sz w:val="24"/>
          <w:szCs w:val="24"/>
          <w:lang w:val="en-US" w:eastAsia="zh-CN"/>
        </w:rPr>
        <w:t>10</w:t>
      </w:r>
      <w:r>
        <w:rPr>
          <w:rFonts w:hint="eastAsia" w:ascii="宋体" w:hAnsi="宋体" w:eastAsia="宋体" w:cs="宋体"/>
          <w:sz w:val="24"/>
          <w:szCs w:val="24"/>
        </w:rPr>
        <w:t>～4</w:t>
      </w:r>
      <w:r>
        <w:rPr>
          <w:rFonts w:hint="eastAsia" w:ascii="宋体" w:hAnsi="宋体" w:eastAsia="宋体" w:cs="宋体"/>
          <w:sz w:val="24"/>
          <w:szCs w:val="24"/>
          <w:lang w:val="en-US" w:eastAsia="zh-CN"/>
        </w:rPr>
        <w:t>5</w:t>
      </w:r>
      <w:r>
        <w:rPr>
          <w:rFonts w:hint="eastAsia" w:ascii="宋体" w:hAnsi="宋体" w:eastAsia="宋体" w:cs="宋体"/>
          <w:sz w:val="24"/>
          <w:szCs w:val="24"/>
        </w:rPr>
        <w:t>℃；电源3</w:t>
      </w:r>
      <w:r>
        <w:rPr>
          <w:rFonts w:ascii="宋体" w:hAnsi="宋体" w:eastAsia="宋体" w:cs="宋体"/>
          <w:sz w:val="24"/>
          <w:szCs w:val="24"/>
        </w:rPr>
        <w:t>80</w:t>
      </w:r>
      <w:r>
        <w:rPr>
          <w:rFonts w:hint="eastAsia" w:ascii="宋体" w:hAnsi="宋体" w:eastAsia="宋体" w:cs="宋体"/>
          <w:sz w:val="24"/>
          <w:szCs w:val="24"/>
        </w:rPr>
        <w:t>V、5</w:t>
      </w:r>
      <w:r>
        <w:rPr>
          <w:rFonts w:ascii="宋体" w:hAnsi="宋体" w:eastAsia="宋体" w:cs="宋体"/>
          <w:sz w:val="24"/>
          <w:szCs w:val="24"/>
        </w:rPr>
        <w:t>0hz.</w:t>
      </w:r>
    </w:p>
    <w:p>
      <w:pPr>
        <w:pStyle w:val="10"/>
        <w:widowControl w:val="0"/>
        <w:numPr>
          <w:ilvl w:val="1"/>
          <w:numId w:val="1"/>
        </w:numPr>
        <w:kinsoku/>
        <w:spacing w:line="360" w:lineRule="auto"/>
        <w:ind w:firstLineChars="0"/>
        <w:rPr>
          <w:rFonts w:ascii="宋体" w:hAnsi="宋体" w:eastAsia="宋体" w:cs="宋体"/>
          <w:sz w:val="24"/>
          <w:szCs w:val="24"/>
        </w:rPr>
      </w:pPr>
      <w:r>
        <w:rPr>
          <w:rFonts w:hint="eastAsia" w:ascii="宋体" w:hAnsi="宋体" w:eastAsia="宋体" w:cs="宋体"/>
          <w:sz w:val="24"/>
          <w:szCs w:val="24"/>
        </w:rPr>
        <w:t>机床结构稳定可靠，采用高刚性铸铁床身，具有良好的静动态刚性、热稳定性和吸振性。机床防护性能良好。投标方应对机床结构、功能和防护作描述。</w:t>
      </w:r>
    </w:p>
    <w:p>
      <w:pPr>
        <w:widowControl w:val="0"/>
        <w:kinsoku/>
        <w:spacing w:line="360" w:lineRule="auto"/>
        <w:rPr>
          <w:rFonts w:ascii="宋体" w:hAnsi="宋体" w:eastAsia="宋体" w:cs="宋体"/>
          <w:b/>
          <w:sz w:val="24"/>
          <w:szCs w:val="24"/>
        </w:rPr>
      </w:pPr>
      <w:r>
        <w:rPr>
          <w:rFonts w:hint="eastAsia" w:ascii="宋体" w:hAnsi="宋体" w:eastAsia="宋体" w:cs="宋体"/>
          <w:b/>
          <w:sz w:val="24"/>
          <w:szCs w:val="24"/>
        </w:rPr>
        <w:t>二、配置明细</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2.1 </w:t>
      </w:r>
      <w:r>
        <w:rPr>
          <w:rFonts w:hint="eastAsia" w:ascii="宋体" w:hAnsi="宋体" w:eastAsia="宋体" w:cs="宋体"/>
          <w:b w:val="0"/>
          <w:bCs w:val="0"/>
          <w:color w:val="auto"/>
          <w:sz w:val="24"/>
          <w:szCs w:val="24"/>
          <w:highlight w:val="none"/>
        </w:rPr>
        <w:t>电主轴：JD105-28-ISO252台</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2.2 </w:t>
      </w:r>
      <w:r>
        <w:rPr>
          <w:rFonts w:hint="eastAsia" w:ascii="宋体" w:hAnsi="宋体" w:eastAsia="宋体" w:cs="宋体"/>
          <w:b w:val="0"/>
          <w:bCs w:val="0"/>
          <w:color w:val="auto"/>
          <w:sz w:val="24"/>
          <w:szCs w:val="24"/>
          <w:highlight w:val="none"/>
        </w:rPr>
        <w:t>控制系统：JD50数控系统1套</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2.3 </w:t>
      </w:r>
      <w:r>
        <w:rPr>
          <w:rFonts w:hint="eastAsia" w:ascii="宋体" w:hAnsi="宋体" w:eastAsia="宋体" w:cs="宋体"/>
          <w:b w:val="0"/>
          <w:bCs w:val="0"/>
          <w:color w:val="auto"/>
          <w:sz w:val="24"/>
          <w:szCs w:val="24"/>
          <w:highlight w:val="none"/>
        </w:rPr>
        <w:t>CAD/CAM软件：正版精雕SurfMill8.01套</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2.4 </w:t>
      </w:r>
      <w:r>
        <w:rPr>
          <w:rFonts w:hint="eastAsia" w:ascii="宋体" w:hAnsi="宋体" w:eastAsia="宋体" w:cs="宋体"/>
          <w:b w:val="0"/>
          <w:bCs w:val="0"/>
          <w:color w:val="auto"/>
          <w:sz w:val="24"/>
          <w:szCs w:val="24"/>
          <w:highlight w:val="none"/>
        </w:rPr>
        <w:t>刀库：直排式刀库2套</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2.5 </w:t>
      </w:r>
      <w:r>
        <w:rPr>
          <w:rFonts w:hint="eastAsia" w:ascii="宋体" w:hAnsi="宋体" w:eastAsia="宋体" w:cs="宋体"/>
          <w:b w:val="0"/>
          <w:bCs w:val="0"/>
          <w:color w:val="auto"/>
          <w:sz w:val="24"/>
          <w:szCs w:val="24"/>
          <w:highlight w:val="none"/>
        </w:rPr>
        <w:t>主轴制冷机：ZLJB-18-380-C1套电主轴制冷机</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2.6 </w:t>
      </w:r>
      <w:r>
        <w:rPr>
          <w:rFonts w:hint="eastAsia" w:ascii="宋体" w:hAnsi="宋体" w:eastAsia="宋体" w:cs="宋体"/>
          <w:b w:val="0"/>
          <w:bCs w:val="0"/>
          <w:color w:val="auto"/>
          <w:sz w:val="24"/>
          <w:szCs w:val="24"/>
          <w:highlight w:val="none"/>
        </w:rPr>
        <w:t>手轮控制器：1个</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2.7 </w:t>
      </w:r>
      <w:r>
        <w:rPr>
          <w:rFonts w:hint="eastAsia" w:ascii="宋体" w:hAnsi="宋体" w:eastAsia="宋体" w:cs="宋体"/>
          <w:b w:val="0"/>
          <w:bCs w:val="0"/>
          <w:color w:val="auto"/>
          <w:sz w:val="24"/>
          <w:szCs w:val="24"/>
          <w:highlight w:val="none"/>
        </w:rPr>
        <w:t>刀柄（含压帽）：ISO25刀柄2套</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2.8 </w:t>
      </w:r>
      <w:r>
        <w:rPr>
          <w:rFonts w:hint="eastAsia" w:ascii="宋体" w:hAnsi="宋体" w:eastAsia="宋体" w:cs="宋体"/>
          <w:b w:val="0"/>
          <w:bCs w:val="0"/>
          <w:color w:val="auto"/>
          <w:sz w:val="24"/>
          <w:szCs w:val="24"/>
          <w:highlight w:val="none"/>
        </w:rPr>
        <w:t>夹头型号及数量：ER20Φ62个Rego-up</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2.9 </w:t>
      </w:r>
      <w:r>
        <w:rPr>
          <w:rFonts w:hint="eastAsia" w:ascii="宋体" w:hAnsi="宋体" w:eastAsia="宋体" w:cs="宋体"/>
          <w:b w:val="0"/>
          <w:bCs w:val="0"/>
          <w:color w:val="auto"/>
          <w:sz w:val="24"/>
          <w:szCs w:val="24"/>
          <w:highlight w:val="none"/>
        </w:rPr>
        <w:t>接触式对刀仪：1个</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2.10 </w:t>
      </w:r>
      <w:r>
        <w:rPr>
          <w:rFonts w:hint="eastAsia" w:ascii="宋体" w:hAnsi="宋体" w:eastAsia="宋体" w:cs="宋体"/>
          <w:b w:val="0"/>
          <w:bCs w:val="0"/>
          <w:color w:val="auto"/>
          <w:sz w:val="24"/>
          <w:szCs w:val="24"/>
          <w:highlight w:val="none"/>
        </w:rPr>
        <w:t>石墨吸尘压脚：2个</w:t>
      </w:r>
    </w:p>
    <w:p>
      <w:pPr>
        <w:widowControl w:val="0"/>
        <w:kinsoku/>
        <w:spacing w:line="360" w:lineRule="auto"/>
        <w:rPr>
          <w:rFonts w:ascii="宋体" w:hAnsi="宋体" w:eastAsia="宋体" w:cs="宋体"/>
          <w:b/>
          <w:bCs/>
          <w:color w:val="FF0000"/>
          <w:sz w:val="24"/>
          <w:szCs w:val="24"/>
          <w:highlight w:val="yellow"/>
        </w:rPr>
      </w:pPr>
    </w:p>
    <w:p>
      <w:pPr>
        <w:widowControl w:val="0"/>
        <w:numPr>
          <w:ilvl w:val="0"/>
          <w:numId w:val="0"/>
        </w:numPr>
        <w:kinsoku/>
        <w:spacing w:line="360" w:lineRule="auto"/>
        <w:ind w:lef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技术参数表</w:t>
      </w:r>
    </w:p>
    <w:tbl>
      <w:tblPr>
        <w:tblStyle w:val="5"/>
        <w:tblW w:w="95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5"/>
        <w:gridCol w:w="1950"/>
        <w:gridCol w:w="2286"/>
        <w:gridCol w:w="1974"/>
        <w:gridCol w:w="18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Style w:val="11"/>
                <w:snapToGrid w:val="0"/>
                <w:color w:val="000000"/>
                <w:sz w:val="24"/>
                <w:szCs w:val="24"/>
                <w:lang w:val="en-US" w:eastAsia="zh-CN" w:bidi="ar"/>
              </w:rPr>
              <w:t>项目</w:t>
            </w: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Style w:val="11"/>
                <w:snapToGrid w:val="0"/>
                <w:color w:val="000000"/>
                <w:sz w:val="24"/>
                <w:szCs w:val="24"/>
                <w:lang w:val="en-US" w:eastAsia="zh-CN" w:bidi="ar"/>
              </w:rPr>
              <w:t>名称</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Style w:val="11"/>
                <w:snapToGrid w:val="0"/>
                <w:color w:val="000000"/>
                <w:sz w:val="24"/>
                <w:szCs w:val="24"/>
                <w:lang w:val="en-US" w:eastAsia="zh-CN" w:bidi="ar"/>
              </w:rPr>
              <w:t>参数</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Style w:val="11"/>
                <w:snapToGrid w:val="0"/>
                <w:color w:val="00000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工作台</w:t>
            </w: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工作台形式</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铸铁工作台</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rFonts w:hint="eastAsia" w:ascii="微软雅黑" w:hAnsi="微软雅黑" w:eastAsia="微软雅黑" w:cs="微软雅黑"/>
                <w:snapToGrid w:val="0"/>
                <w:color w:val="000000"/>
                <w:sz w:val="22"/>
                <w:szCs w:val="22"/>
                <w:lang w:val="en-US" w:eastAsia="zh-CN" w:bidi="ar"/>
              </w:rPr>
              <w:t>★</w:t>
            </w:r>
            <w:r>
              <w:rPr>
                <w:rStyle w:val="12"/>
                <w:snapToGrid w:val="0"/>
                <w:color w:val="000000"/>
                <w:sz w:val="22"/>
                <w:szCs w:val="22"/>
                <w:lang w:val="en-US" w:eastAsia="zh-CN" w:bidi="ar"/>
              </w:rPr>
              <w:t>工作台尺寸(mm)</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1300×3190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T型槽尺寸(mm)×槽数</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12×20×13</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最大承重量(kg)</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机床尺寸</w:t>
            </w: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床体尺寸（mm）</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2000×3820×1910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外形尺寸（mm）</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2670×3820×1910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包括电控柜等附件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附件尺寸</w:t>
            </w: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油箱容积（L）</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不含油箱</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rFonts w:hint="eastAsia" w:ascii="微软雅黑" w:hAnsi="微软雅黑" w:eastAsia="微软雅黑" w:cs="微软雅黑"/>
                <w:snapToGrid w:val="0"/>
                <w:color w:val="000000"/>
                <w:sz w:val="22"/>
                <w:szCs w:val="22"/>
                <w:lang w:val="en-US" w:eastAsia="zh-CN" w:bidi="ar"/>
              </w:rPr>
              <w:t>★</w:t>
            </w:r>
            <w:r>
              <w:rPr>
                <w:rStyle w:val="12"/>
                <w:snapToGrid w:val="0"/>
                <w:color w:val="000000"/>
                <w:sz w:val="22"/>
                <w:szCs w:val="22"/>
                <w:lang w:val="en-US" w:eastAsia="zh-CN" w:bidi="ar"/>
              </w:rPr>
              <w:t>进料高度</w:t>
            </w: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主轴下端面至工作台面的最大高度（mm）</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刀库最下端至工作台面最大高度（mm）</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机床重量</w:t>
            </w: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机床总重量(kg)</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8500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机床所有部件重量的总和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rFonts w:hint="eastAsia" w:ascii="微软雅黑" w:hAnsi="微软雅黑" w:eastAsia="微软雅黑" w:cs="微软雅黑"/>
                <w:snapToGrid w:val="0"/>
                <w:color w:val="000000"/>
                <w:sz w:val="22"/>
                <w:szCs w:val="22"/>
                <w:lang w:val="en-US" w:eastAsia="zh-CN" w:bidi="ar"/>
              </w:rPr>
              <w:t>★</w:t>
            </w:r>
            <w:r>
              <w:rPr>
                <w:rStyle w:val="12"/>
                <w:snapToGrid w:val="0"/>
                <w:color w:val="000000"/>
                <w:sz w:val="22"/>
                <w:szCs w:val="22"/>
                <w:lang w:val="en-US" w:eastAsia="zh-CN" w:bidi="ar"/>
              </w:rPr>
              <w:t>数控系统</w:t>
            </w: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hint="eastAsia" w:ascii="宋体" w:hAnsi="宋体" w:eastAsia="宋体" w:cs="宋体"/>
                <w:i w:val="0"/>
                <w:iCs w:val="0"/>
                <w:color w:val="000000"/>
                <w:sz w:val="22"/>
                <w:szCs w:val="22"/>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JD50数控系统</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驱动系统</w:t>
            </w: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hint="eastAsia" w:ascii="宋体" w:hAnsi="宋体" w:eastAsia="宋体" w:cs="宋体"/>
                <w:i w:val="0"/>
                <w:iCs w:val="0"/>
                <w:color w:val="000000"/>
                <w:sz w:val="22"/>
                <w:szCs w:val="22"/>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交流伺服</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机床动力源</w:t>
            </w: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电源电压(V/Hz)</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三相380V/50Hz</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总电源容量(kVA)</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耗气量（L/min）</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600～800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气压源(MPa)</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0.52</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rFonts w:hint="eastAsia" w:ascii="微软雅黑" w:hAnsi="微软雅黑" w:eastAsia="微软雅黑" w:cs="微软雅黑"/>
                <w:snapToGrid w:val="0"/>
                <w:color w:val="000000"/>
                <w:sz w:val="22"/>
                <w:szCs w:val="22"/>
                <w:lang w:val="en-US" w:eastAsia="zh-CN" w:bidi="ar"/>
              </w:rPr>
              <w:t>★</w:t>
            </w:r>
            <w:r>
              <w:rPr>
                <w:rStyle w:val="12"/>
                <w:snapToGrid w:val="0"/>
                <w:color w:val="000000"/>
                <w:sz w:val="22"/>
                <w:szCs w:val="22"/>
                <w:lang w:val="en-US" w:eastAsia="zh-CN" w:bidi="ar"/>
              </w:rPr>
              <w:t>工作行程</w:t>
            </w: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X轴(mm)</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机头间距600mm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Y轴(mm)</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2500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Z轴(mm)</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进给</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快速移动/旋转速度</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X/Y/Z轴(m/min)</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最高切削进给速度</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X/Y/Z轴(m/min)</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Style w:val="12"/>
                <w:rFonts w:hint="eastAsia" w:ascii="微软雅黑" w:hAnsi="微软雅黑" w:eastAsia="微软雅黑" w:cs="微软雅黑"/>
                <w:snapToGrid w:val="0"/>
                <w:color w:val="000000"/>
                <w:sz w:val="22"/>
                <w:szCs w:val="22"/>
                <w:lang w:val="en-US" w:eastAsia="zh-CN" w:bidi="ar"/>
              </w:rPr>
              <w:t>★</w:t>
            </w:r>
            <w:r>
              <w:rPr>
                <w:rStyle w:val="12"/>
                <w:snapToGrid w:val="0"/>
                <w:color w:val="000000"/>
                <w:sz w:val="22"/>
                <w:szCs w:val="22"/>
                <w:lang w:val="en-US" w:eastAsia="zh-CN" w:bidi="ar"/>
              </w:rPr>
              <w:t>位置精度</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定位精度</w:t>
            </w:r>
          </w:p>
        </w:tc>
        <w:tc>
          <w:tcPr>
            <w:tcW w:w="2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X/Y/Z轴(mm)</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X:0.020/600</w:t>
            </w:r>
          </w:p>
        </w:tc>
        <w:tc>
          <w:tcPr>
            <w:tcW w:w="1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000000"/>
                <w:sz w:val="22"/>
                <w:szCs w:val="22"/>
                <w:u w:val="none"/>
              </w:rPr>
            </w:pPr>
          </w:p>
        </w:tc>
        <w:tc>
          <w:tcPr>
            <w:tcW w:w="2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000000"/>
                <w:sz w:val="22"/>
                <w:szCs w:val="22"/>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12"/>
                <w:snapToGrid w:val="0"/>
                <w:color w:val="000000"/>
                <w:sz w:val="22"/>
                <w:szCs w:val="22"/>
                <w:lang w:val="en-US" w:eastAsia="zh-CN" w:bidi="ar"/>
              </w:rPr>
            </w:pPr>
            <w:r>
              <w:rPr>
                <w:rStyle w:val="12"/>
                <w:snapToGrid w:val="0"/>
                <w:color w:val="000000"/>
                <w:sz w:val="22"/>
                <w:szCs w:val="22"/>
                <w:lang w:val="en-US" w:eastAsia="zh-CN" w:bidi="ar"/>
              </w:rPr>
              <w:t>Y:0.025/2500</w:t>
            </w:r>
          </w:p>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Z:0.006/200</w:t>
            </w: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重复定位精度</w:t>
            </w:r>
          </w:p>
        </w:tc>
        <w:tc>
          <w:tcPr>
            <w:tcW w:w="2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X/Y/Z轴(mm)</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X:0.012/600</w:t>
            </w:r>
          </w:p>
        </w:tc>
        <w:tc>
          <w:tcPr>
            <w:tcW w:w="1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000000"/>
                <w:sz w:val="22"/>
                <w:szCs w:val="22"/>
                <w:u w:val="none"/>
              </w:rPr>
            </w:pPr>
          </w:p>
        </w:tc>
        <w:tc>
          <w:tcPr>
            <w:tcW w:w="2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000000"/>
                <w:sz w:val="22"/>
                <w:szCs w:val="22"/>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12"/>
                <w:snapToGrid w:val="0"/>
                <w:color w:val="000000"/>
                <w:sz w:val="22"/>
                <w:szCs w:val="22"/>
                <w:lang w:val="en-US" w:eastAsia="zh-CN" w:bidi="ar"/>
              </w:rPr>
            </w:pPr>
            <w:r>
              <w:rPr>
                <w:rStyle w:val="12"/>
                <w:snapToGrid w:val="0"/>
                <w:color w:val="000000"/>
                <w:sz w:val="22"/>
                <w:szCs w:val="22"/>
                <w:lang w:val="en-US" w:eastAsia="zh-CN" w:bidi="ar"/>
              </w:rPr>
              <w:t>Y:0.015/2500</w:t>
            </w:r>
          </w:p>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Z:0.005/200</w:t>
            </w: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电主轴</w:t>
            </w: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Style w:val="12"/>
                <w:rFonts w:hint="eastAsia" w:ascii="微软雅黑" w:hAnsi="微软雅黑" w:eastAsia="微软雅黑" w:cs="微软雅黑"/>
                <w:snapToGrid w:val="0"/>
                <w:color w:val="000000"/>
                <w:sz w:val="22"/>
                <w:szCs w:val="22"/>
                <w:lang w:val="en-US" w:eastAsia="zh-CN" w:bidi="ar"/>
              </w:rPr>
              <w:t>★</w:t>
            </w:r>
            <w:r>
              <w:rPr>
                <w:rStyle w:val="12"/>
                <w:snapToGrid w:val="0"/>
                <w:color w:val="000000"/>
                <w:sz w:val="22"/>
                <w:szCs w:val="22"/>
                <w:lang w:val="en-US" w:eastAsia="zh-CN" w:bidi="ar"/>
              </w:rPr>
              <w:t>型号</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JD105-28-ISO25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双主轴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主轴直径(mm)</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Φ105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最高转速(r/min)</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28000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刀柄型式</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ISO25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Style w:val="12"/>
                <w:rFonts w:hint="eastAsia" w:ascii="微软雅黑" w:hAnsi="微软雅黑" w:eastAsia="微软雅黑" w:cs="微软雅黑"/>
                <w:snapToGrid w:val="0"/>
                <w:color w:val="000000"/>
                <w:sz w:val="22"/>
                <w:szCs w:val="22"/>
                <w:lang w:val="en-US" w:eastAsia="zh-CN" w:bidi="ar"/>
              </w:rPr>
              <w:t>★</w:t>
            </w:r>
            <w:r>
              <w:rPr>
                <w:rStyle w:val="12"/>
                <w:snapToGrid w:val="0"/>
                <w:color w:val="000000"/>
                <w:sz w:val="22"/>
                <w:szCs w:val="22"/>
                <w:lang w:val="en-US" w:eastAsia="zh-CN" w:bidi="ar"/>
              </w:rPr>
              <w:t>主轴中心距(mm)</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电机功率（kW）</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额定输出扭矩(Nm)</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0"/>
                <w:szCs w:val="20"/>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松刀气压(MPa)</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0.52</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0"/>
                <w:szCs w:val="20"/>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启动时间（s）</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0"/>
                <w:szCs w:val="20"/>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停止时间（s）</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0"/>
                <w:szCs w:val="20"/>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rFonts w:hint="eastAsia" w:ascii="微软雅黑" w:hAnsi="微软雅黑" w:eastAsia="微软雅黑" w:cs="微软雅黑"/>
                <w:snapToGrid w:val="0"/>
                <w:color w:val="000000"/>
                <w:sz w:val="22"/>
                <w:szCs w:val="22"/>
                <w:lang w:val="en-US" w:eastAsia="zh-CN" w:bidi="ar"/>
              </w:rPr>
              <w:t>★</w:t>
            </w:r>
            <w:r>
              <w:rPr>
                <w:rStyle w:val="12"/>
                <w:snapToGrid w:val="0"/>
                <w:color w:val="000000"/>
                <w:sz w:val="22"/>
                <w:szCs w:val="22"/>
                <w:lang w:val="en-US" w:eastAsia="zh-CN" w:bidi="ar"/>
              </w:rPr>
              <w:t>主轴数量</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0"/>
                <w:szCs w:val="20"/>
                <w:u w:val="none"/>
              </w:rPr>
            </w:pPr>
            <w:r>
              <w:rPr>
                <w:rStyle w:val="12"/>
                <w:rFonts w:hint="eastAsia" w:ascii="微软雅黑" w:hAnsi="微软雅黑" w:eastAsia="微软雅黑" w:cs="微软雅黑"/>
                <w:snapToGrid w:val="0"/>
                <w:color w:val="000000"/>
                <w:sz w:val="22"/>
                <w:szCs w:val="22"/>
                <w:lang w:val="en-US" w:eastAsia="zh-CN" w:bidi="ar"/>
              </w:rPr>
              <w:t>★</w:t>
            </w:r>
            <w:r>
              <w:rPr>
                <w:rStyle w:val="12"/>
                <w:snapToGrid w:val="0"/>
                <w:color w:val="000000"/>
                <w:sz w:val="22"/>
                <w:szCs w:val="22"/>
                <w:lang w:val="en-US" w:eastAsia="zh-CN" w:bidi="ar"/>
              </w:rPr>
              <w:t>刀库</w:t>
            </w: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刀库形式</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直排式刀库</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横梁下推出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0"/>
                <w:szCs w:val="20"/>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刀库容量</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单个刀库容量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0"/>
                <w:szCs w:val="20"/>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刀柄型式</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ISO25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0"/>
                <w:szCs w:val="20"/>
                <w:u w:val="none"/>
              </w:rPr>
            </w:pP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rPr>
            </w:pPr>
            <w:r>
              <w:rPr>
                <w:rStyle w:val="12"/>
                <w:snapToGrid w:val="0"/>
                <w:color w:val="000000"/>
                <w:sz w:val="22"/>
                <w:szCs w:val="22"/>
                <w:lang w:val="en-US" w:eastAsia="zh-CN" w:bidi="ar"/>
              </w:rPr>
              <w:t>刀库数量</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宋体" w:hAnsi="宋体" w:eastAsia="宋体" w:cs="宋体"/>
                <w:i w:val="0"/>
                <w:iCs w:val="0"/>
                <w:color w:val="000000"/>
                <w:sz w:val="22"/>
                <w:szCs w:val="22"/>
                <w:u w:val="none"/>
              </w:rPr>
            </w:pPr>
          </w:p>
        </w:tc>
      </w:tr>
    </w:tbl>
    <w:p>
      <w:pPr>
        <w:pStyle w:val="9"/>
        <w:numPr>
          <w:ilvl w:val="0"/>
          <w:numId w:val="0"/>
        </w:numPr>
        <w:kinsoku w:val="0"/>
        <w:autoSpaceDE w:val="0"/>
        <w:autoSpaceDN w:val="0"/>
        <w:adjustRightInd w:val="0"/>
        <w:snapToGrid w:val="0"/>
        <w:spacing w:line="360" w:lineRule="auto"/>
        <w:textAlignment w:val="baseline"/>
        <w:rPr>
          <w:rFonts w:hint="eastAsia" w:eastAsia="宋体"/>
          <w:b/>
          <w:bCs/>
          <w:sz w:val="24"/>
          <w:szCs w:val="24"/>
          <w:lang w:val="en-US" w:eastAsia="zh-CN"/>
        </w:rPr>
      </w:pPr>
    </w:p>
    <w:p>
      <w:pPr>
        <w:pStyle w:val="9"/>
        <w:numPr>
          <w:ilvl w:val="0"/>
          <w:numId w:val="0"/>
        </w:numPr>
        <w:kinsoku w:val="0"/>
        <w:autoSpaceDE w:val="0"/>
        <w:autoSpaceDN w:val="0"/>
        <w:adjustRightInd w:val="0"/>
        <w:snapToGrid w:val="0"/>
        <w:spacing w:line="360" w:lineRule="auto"/>
        <w:textAlignment w:val="baseline"/>
        <w:rPr>
          <w:rFonts w:hint="default" w:eastAsia="宋体"/>
          <w:b/>
          <w:bCs/>
          <w:sz w:val="24"/>
          <w:szCs w:val="24"/>
          <w:lang w:val="en-US" w:eastAsia="zh-CN"/>
        </w:rPr>
      </w:pPr>
      <w:r>
        <w:rPr>
          <w:rFonts w:hint="eastAsia" w:eastAsia="宋体"/>
          <w:b/>
          <w:bCs/>
          <w:sz w:val="24"/>
          <w:szCs w:val="24"/>
          <w:lang w:val="en-US" w:eastAsia="zh-CN"/>
        </w:rPr>
        <w:t>四、售后服务</w:t>
      </w:r>
    </w:p>
    <w:p>
      <w:pPr>
        <w:pStyle w:val="9"/>
        <w:numPr>
          <w:ilvl w:val="0"/>
          <w:numId w:val="0"/>
        </w:numPr>
        <w:kinsoku w:val="0"/>
        <w:autoSpaceDE w:val="0"/>
        <w:autoSpaceDN w:val="0"/>
        <w:adjustRightInd w:val="0"/>
        <w:snapToGrid w:val="0"/>
        <w:spacing w:line="360" w:lineRule="auto"/>
        <w:textAlignment w:val="baseline"/>
        <w:rPr>
          <w:rFonts w:hint="eastAsia" w:ascii="黑体" w:eastAsia="黑体"/>
          <w:sz w:val="24"/>
          <w:szCs w:val="21"/>
          <w:shd w:val="pct10" w:color="auto" w:fill="FFFFFF"/>
        </w:rPr>
      </w:pPr>
      <w:r>
        <w:rPr>
          <w:rFonts w:hint="eastAsia" w:ascii="宋体" w:hAnsi="宋体" w:eastAsia="宋体" w:cs="宋体"/>
          <w:sz w:val="24"/>
          <w:szCs w:val="24"/>
          <w:lang w:val="en-US" w:eastAsia="zh-CN"/>
        </w:rPr>
        <w:t xml:space="preserve">4.1 </w:t>
      </w:r>
      <w:r>
        <w:rPr>
          <w:rFonts w:hint="eastAsia" w:ascii="黑体" w:eastAsia="黑体"/>
          <w:sz w:val="24"/>
          <w:szCs w:val="21"/>
        </w:rPr>
        <w:t>设备安装和调试</w:t>
      </w:r>
    </w:p>
    <w:p>
      <w:pPr>
        <w:spacing w:line="360" w:lineRule="auto"/>
        <w:ind w:firstLine="480" w:firstLineChars="200"/>
        <w:rPr>
          <w:rFonts w:hint="eastAsia"/>
          <w:sz w:val="24"/>
        </w:rPr>
      </w:pPr>
      <w:r>
        <w:rPr>
          <w:rFonts w:hint="eastAsia"/>
          <w:sz w:val="24"/>
        </w:rPr>
        <w:t>设备到达后，工程师在当日到达现场进行安装、调试和培训。</w:t>
      </w:r>
    </w:p>
    <w:p>
      <w:pPr>
        <w:spacing w:before="156" w:beforeLines="50" w:line="360" w:lineRule="auto"/>
        <w:rPr>
          <w:rFonts w:hint="eastAsia" w:ascii="黑体" w:eastAsia="黑体"/>
          <w:sz w:val="24"/>
          <w:szCs w:val="21"/>
          <w:shd w:val="pct10" w:color="auto" w:fill="FFFFFF"/>
        </w:rPr>
      </w:pPr>
      <w:r>
        <w:rPr>
          <w:rFonts w:hint="eastAsia" w:ascii="黑体" w:eastAsia="黑体"/>
          <w:sz w:val="24"/>
          <w:szCs w:val="21"/>
          <w:lang w:val="en-US" w:eastAsia="zh-CN"/>
        </w:rPr>
        <w:t xml:space="preserve">4.2 </w:t>
      </w:r>
      <w:r>
        <w:rPr>
          <w:rFonts w:hint="eastAsia" w:ascii="黑体" w:eastAsia="黑体"/>
          <w:sz w:val="24"/>
          <w:szCs w:val="21"/>
        </w:rPr>
        <w:t>培   训</w:t>
      </w:r>
    </w:p>
    <w:p>
      <w:pPr>
        <w:spacing w:line="360" w:lineRule="auto"/>
        <w:ind w:firstLine="480" w:firstLineChars="200"/>
        <w:rPr>
          <w:rFonts w:hint="eastAsia" w:ascii="宋体" w:hAnsi="宋体"/>
          <w:sz w:val="24"/>
        </w:rPr>
      </w:pPr>
      <w:r>
        <w:rPr>
          <w:rFonts w:hint="eastAsia" w:ascii="宋体" w:hAnsi="宋体"/>
          <w:sz w:val="24"/>
        </w:rPr>
        <w:t>免费提供CAD培训、CNC编程及设备操作培训，并确保培训质量。</w:t>
      </w:r>
    </w:p>
    <w:p>
      <w:pPr>
        <w:spacing w:line="360" w:lineRule="auto"/>
        <w:ind w:firstLine="480" w:firstLineChars="200"/>
        <w:rPr>
          <w:rFonts w:hint="eastAsia" w:ascii="宋体"/>
          <w:szCs w:val="21"/>
        </w:rPr>
      </w:pPr>
      <w:r>
        <w:rPr>
          <w:rFonts w:hint="eastAsia" w:ascii="宋体"/>
          <w:sz w:val="24"/>
          <w:szCs w:val="21"/>
        </w:rPr>
        <w:t>供货方技术工程师不定期对</w:t>
      </w:r>
      <w:r>
        <w:rPr>
          <w:rFonts w:hint="eastAsia" w:ascii="宋体" w:eastAsia="宋体"/>
          <w:sz w:val="24"/>
          <w:szCs w:val="21"/>
          <w:lang w:val="en-US" w:eastAsia="zh-CN"/>
        </w:rPr>
        <w:t>我方</w:t>
      </w:r>
      <w:r>
        <w:rPr>
          <w:rFonts w:hint="eastAsia" w:ascii="宋体"/>
          <w:sz w:val="24"/>
          <w:szCs w:val="21"/>
        </w:rPr>
        <w:t>进行上门回访，与</w:t>
      </w:r>
      <w:r>
        <w:rPr>
          <w:rFonts w:hint="eastAsia" w:ascii="宋体" w:eastAsia="宋体"/>
          <w:sz w:val="24"/>
          <w:szCs w:val="21"/>
          <w:lang w:val="en-US" w:eastAsia="zh-CN"/>
        </w:rPr>
        <w:t>我方</w:t>
      </w:r>
      <w:r>
        <w:rPr>
          <w:rFonts w:hint="eastAsia" w:ascii="宋体"/>
          <w:sz w:val="24"/>
          <w:szCs w:val="21"/>
        </w:rPr>
        <w:t>进行机床操作、产品加工方面的技术交流，</w:t>
      </w:r>
      <w:r>
        <w:rPr>
          <w:rFonts w:hint="eastAsia" w:ascii="宋体" w:eastAsia="宋体"/>
          <w:sz w:val="24"/>
          <w:szCs w:val="21"/>
          <w:lang w:val="en-US" w:eastAsia="zh-CN"/>
        </w:rPr>
        <w:t>我方</w:t>
      </w:r>
      <w:r>
        <w:rPr>
          <w:rFonts w:hint="eastAsia" w:ascii="宋体"/>
          <w:sz w:val="24"/>
          <w:szCs w:val="21"/>
        </w:rPr>
        <w:t>也可以随时通过电话或邮件咨询精雕机的任何问题。</w:t>
      </w:r>
    </w:p>
    <w:p>
      <w:pPr>
        <w:spacing w:before="156" w:beforeLines="50" w:line="360" w:lineRule="auto"/>
        <w:rPr>
          <w:rFonts w:hint="eastAsia" w:ascii="黑体" w:eastAsia="黑体"/>
          <w:sz w:val="24"/>
          <w:szCs w:val="21"/>
          <w:shd w:val="pct10" w:color="auto" w:fill="FFFFFF"/>
        </w:rPr>
      </w:pPr>
      <w:r>
        <w:rPr>
          <w:rFonts w:hint="eastAsia" w:ascii="黑体" w:eastAsia="黑体"/>
          <w:sz w:val="24"/>
          <w:szCs w:val="21"/>
          <w:lang w:val="en-US" w:eastAsia="zh-CN"/>
        </w:rPr>
        <w:t xml:space="preserve">4.3 </w:t>
      </w:r>
      <w:r>
        <w:rPr>
          <w:rFonts w:hint="eastAsia" w:ascii="黑体" w:eastAsia="黑体"/>
          <w:sz w:val="24"/>
          <w:szCs w:val="21"/>
        </w:rPr>
        <w:t>质量保障和售后服务</w:t>
      </w:r>
    </w:p>
    <w:p>
      <w:pPr>
        <w:pStyle w:val="3"/>
        <w:spacing w:line="360" w:lineRule="auto"/>
        <w:ind w:firstLine="480" w:firstLineChars="200"/>
        <w:rPr>
          <w:rFonts w:hint="eastAsia" w:hAnsi="宋体"/>
        </w:rPr>
      </w:pPr>
      <w:r>
        <w:rPr>
          <w:rFonts w:hint="eastAsia"/>
        </w:rPr>
        <w:t>供货方保证销售给</w:t>
      </w:r>
      <w:r>
        <w:rPr>
          <w:rFonts w:hint="eastAsia"/>
          <w:lang w:val="en-US" w:eastAsia="zh-CN"/>
        </w:rPr>
        <w:t>我方</w:t>
      </w:r>
      <w:r>
        <w:rPr>
          <w:rFonts w:hint="eastAsia"/>
        </w:rPr>
        <w:t>的软件为正版软件，在生产过程中和出厂前，均采用全面的品质保证措施和经过严格的检验，供货方自设备到货并通过验收后，</w:t>
      </w:r>
      <w:r>
        <w:rPr>
          <w:rFonts w:hint="eastAsia"/>
          <w:b/>
        </w:rPr>
        <w:t>实行一年的保修期</w:t>
      </w:r>
      <w:r>
        <w:rPr>
          <w:rFonts w:hint="eastAsia"/>
        </w:rPr>
        <w:t>。</w:t>
      </w:r>
    </w:p>
    <w:p>
      <w:pPr>
        <w:pStyle w:val="9"/>
        <w:numPr>
          <w:ilvl w:val="0"/>
          <w:numId w:val="0"/>
        </w:numPr>
        <w:kinsoku w:val="0"/>
        <w:autoSpaceDE w:val="0"/>
        <w:autoSpaceDN w:val="0"/>
        <w:adjustRightInd w:val="0"/>
        <w:snapToGrid w:val="0"/>
        <w:spacing w:line="360" w:lineRule="auto"/>
        <w:textAlignment w:val="baseline"/>
        <w:rPr>
          <w:rFonts w:hint="eastAsia" w:ascii="宋体" w:hAnsi="宋体" w:eastAsia="宋体" w:cs="宋体"/>
          <w:sz w:val="24"/>
          <w:szCs w:val="24"/>
        </w:rPr>
      </w:pPr>
    </w:p>
    <w:p>
      <w:pPr>
        <w:widowControl w:val="0"/>
        <w:kinsoku/>
        <w:spacing w:line="360" w:lineRule="auto"/>
        <w:rPr>
          <w:rFonts w:ascii="宋体" w:hAnsi="宋体" w:eastAsia="宋体" w:cs="宋体"/>
          <w:b/>
          <w:sz w:val="24"/>
          <w:szCs w:val="24"/>
        </w:rPr>
      </w:pPr>
      <w:r>
        <w:rPr>
          <w:rFonts w:hint="eastAsia" w:ascii="宋体" w:hAnsi="宋体" w:eastAsia="宋体" w:cs="宋体"/>
          <w:b/>
          <w:sz w:val="24"/>
          <w:szCs w:val="24"/>
        </w:rPr>
        <w:t>五、技术资料</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.1</w:t>
      </w:r>
      <w:r>
        <w:rPr>
          <w:rFonts w:hint="eastAsia" w:ascii="宋体" w:hAnsi="宋体" w:eastAsia="宋体" w:cs="宋体"/>
          <w:sz w:val="24"/>
          <w:szCs w:val="24"/>
        </w:rPr>
        <w:t>卖方提供下列资料，优先使用中文，纸质版和电子版各一套。</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.2</w:t>
      </w:r>
      <w:r>
        <w:rPr>
          <w:rFonts w:hint="eastAsia" w:ascii="宋体" w:hAnsi="宋体" w:eastAsia="宋体" w:cs="宋体"/>
          <w:sz w:val="24"/>
          <w:szCs w:val="24"/>
        </w:rPr>
        <w:t>设备使用说明书、设备及主要部件装配图、传动系统图、液压图、电气图、润滑图及润滑说明。</w:t>
      </w:r>
    </w:p>
    <w:p>
      <w:pPr>
        <w:widowControl w:val="0"/>
        <w:kinsoku/>
        <w:spacing w:line="360" w:lineRule="auto"/>
        <w:rPr>
          <w:rFonts w:ascii="宋体" w:hAnsi="宋体" w:eastAsia="宋体" w:cs="宋体"/>
          <w:sz w:val="24"/>
          <w:szCs w:val="24"/>
        </w:rPr>
      </w:pPr>
      <w:r>
        <w:rPr>
          <w:rFonts w:ascii="宋体" w:hAnsi="宋体" w:eastAsia="宋体" w:cs="宋体"/>
          <w:sz w:val="24"/>
          <w:szCs w:val="24"/>
        </w:rPr>
        <w:t>5.3</w:t>
      </w:r>
      <w:r>
        <w:rPr>
          <w:rFonts w:hint="eastAsia" w:ascii="宋体" w:hAnsi="宋体" w:eastAsia="宋体" w:cs="宋体"/>
          <w:sz w:val="24"/>
          <w:szCs w:val="24"/>
        </w:rPr>
        <w:t>设备电气原理图，电气布置图，电气使用说明书，</w:t>
      </w:r>
      <w:r>
        <w:rPr>
          <w:rFonts w:ascii="宋体" w:hAnsi="宋体" w:eastAsia="宋体" w:cs="宋体"/>
          <w:sz w:val="24"/>
          <w:szCs w:val="24"/>
        </w:rPr>
        <w:t>CNC</w:t>
      </w:r>
      <w:r>
        <w:rPr>
          <w:rFonts w:hint="eastAsia" w:ascii="宋体" w:hAnsi="宋体" w:eastAsia="宋体" w:cs="宋体"/>
          <w:sz w:val="24"/>
          <w:szCs w:val="24"/>
        </w:rPr>
        <w:t>系统操作手册、编程手册、维修手册，伺服系统使用说明。</w:t>
      </w:r>
    </w:p>
    <w:p>
      <w:pPr>
        <w:widowControl w:val="0"/>
        <w:kinsoku/>
        <w:spacing w:line="360" w:lineRule="auto"/>
        <w:rPr>
          <w:rFonts w:ascii="宋体" w:hAnsi="宋体" w:eastAsia="宋体" w:cs="宋体"/>
          <w:sz w:val="24"/>
          <w:szCs w:val="24"/>
        </w:rPr>
      </w:pPr>
      <w:r>
        <w:rPr>
          <w:rFonts w:ascii="宋体" w:hAnsi="宋体" w:eastAsia="宋体" w:cs="宋体"/>
          <w:sz w:val="24"/>
          <w:szCs w:val="24"/>
        </w:rPr>
        <w:t>5.4</w:t>
      </w:r>
      <w:r>
        <w:rPr>
          <w:rFonts w:hint="eastAsia" w:ascii="宋体" w:hAnsi="宋体" w:eastAsia="宋体" w:cs="宋体"/>
          <w:sz w:val="24"/>
          <w:szCs w:val="24"/>
        </w:rPr>
        <w:t>设备的备件及易损件清单、图纸。</w:t>
      </w:r>
    </w:p>
    <w:p>
      <w:pPr>
        <w:widowControl w:val="0"/>
        <w:kinsoku/>
        <w:spacing w:line="360" w:lineRule="auto"/>
        <w:rPr>
          <w:rFonts w:hint="eastAsia" w:ascii="宋体" w:hAnsi="宋体" w:eastAsia="宋体" w:cs="宋体"/>
          <w:sz w:val="24"/>
          <w:szCs w:val="24"/>
        </w:rPr>
      </w:pPr>
      <w:r>
        <w:rPr>
          <w:rFonts w:ascii="宋体" w:hAnsi="宋体" w:eastAsia="宋体" w:cs="宋体"/>
          <w:sz w:val="24"/>
          <w:szCs w:val="24"/>
        </w:rPr>
        <w:t>5.5</w:t>
      </w:r>
      <w:r>
        <w:rPr>
          <w:rFonts w:hint="eastAsia" w:ascii="宋体" w:hAnsi="宋体" w:eastAsia="宋体" w:cs="宋体"/>
          <w:sz w:val="24"/>
          <w:szCs w:val="24"/>
        </w:rPr>
        <w:t>外购装置有关资料。</w:t>
      </w:r>
    </w:p>
    <w:p>
      <w:pPr>
        <w:spacing w:before="240" w:beforeLines="100" w:line="360" w:lineRule="auto"/>
        <w:jc w:val="center"/>
        <w:outlineLvl w:val="0"/>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bookmarkStart w:id="2" w:name="_Toc14127"/>
    </w:p>
    <w:p>
      <w:pPr>
        <w:spacing w:before="240" w:beforeLines="100" w:line="360" w:lineRule="auto"/>
        <w:jc w:val="center"/>
        <w:outlineLvl w:val="0"/>
        <w:rPr>
          <w:rFonts w:ascii="宋体" w:hAnsi="宋体" w:eastAsia="宋体" w:cs="宋体"/>
          <w:b/>
          <w:sz w:val="36"/>
          <w:szCs w:val="36"/>
          <w:highlight w:val="none"/>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t>附件：商务要求</w:t>
      </w:r>
      <w:bookmarkEnd w:id="2"/>
    </w:p>
    <w:p>
      <w:pPr>
        <w:widowControl w:val="0"/>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1、设备交付、安装调试与验收</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.1</w:t>
      </w:r>
      <w:r>
        <w:rPr>
          <w:rFonts w:hint="eastAsia" w:ascii="宋体" w:hAnsi="宋体" w:eastAsia="宋体" w:cs="宋体"/>
          <w:sz w:val="24"/>
          <w:szCs w:val="24"/>
        </w:rPr>
        <w:t>交货时间为合同签订后内，交货地点为福建省三明市沙县区创新东路4</w:t>
      </w:r>
      <w:r>
        <w:rPr>
          <w:rFonts w:ascii="宋体" w:hAnsi="宋体" w:eastAsia="宋体" w:cs="宋体"/>
          <w:sz w:val="24"/>
          <w:szCs w:val="24"/>
        </w:rPr>
        <w:t>13</w:t>
      </w:r>
      <w:r>
        <w:rPr>
          <w:rFonts w:hint="eastAsia" w:ascii="宋体" w:hAnsi="宋体" w:eastAsia="宋体" w:cs="宋体"/>
          <w:sz w:val="24"/>
          <w:szCs w:val="24"/>
        </w:rPr>
        <w:t>号</w:t>
      </w:r>
      <w:r>
        <w:rPr>
          <w:rFonts w:hint="eastAsia" w:ascii="宋体" w:hAnsi="宋体" w:eastAsia="宋体" w:cs="宋体"/>
          <w:sz w:val="24"/>
          <w:szCs w:val="24"/>
          <w:lang w:val="en-US" w:eastAsia="zh-CN"/>
        </w:rPr>
        <w:t>11#厂房</w:t>
      </w:r>
      <w:r>
        <w:rPr>
          <w:rFonts w:hint="eastAsia" w:ascii="宋体" w:hAnsi="宋体" w:eastAsia="宋体" w:cs="宋体"/>
          <w:sz w:val="24"/>
          <w:szCs w:val="24"/>
        </w:rPr>
        <w:t>。</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卖方负责设备在买方工厂安装调试。</w:t>
      </w:r>
      <w:r>
        <w:rPr>
          <w:rFonts w:hint="eastAsia" w:ascii="宋体" w:hAnsi="宋体" w:eastAsia="宋体" w:cs="宋体"/>
          <w:sz w:val="24"/>
          <w:szCs w:val="24"/>
          <w:lang w:val="en-US" w:eastAsia="zh-CN"/>
        </w:rPr>
        <w:t>2</w:t>
      </w:r>
      <w:r>
        <w:rPr>
          <w:rFonts w:hint="eastAsia" w:ascii="宋体" w:hAnsi="宋体" w:eastAsia="宋体" w:cs="宋体"/>
          <w:sz w:val="24"/>
          <w:szCs w:val="24"/>
        </w:rPr>
        <w:t>个月安装调试及终验收所用的专用工具、量具由卖方自备。</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.3</w:t>
      </w:r>
      <w:r>
        <w:rPr>
          <w:rFonts w:hint="eastAsia" w:ascii="宋体" w:hAnsi="宋体" w:eastAsia="宋体" w:cs="宋体"/>
          <w:sz w:val="24"/>
          <w:szCs w:val="24"/>
        </w:rPr>
        <w:t>投标文件中要写明供货期及安装、调试直至完成终验收所需用的时间。</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w:t>
      </w:r>
      <w:r>
        <w:rPr>
          <w:rFonts w:hint="eastAsia" w:ascii="宋体" w:hAnsi="宋体" w:eastAsia="宋体" w:cs="宋体"/>
          <w:sz w:val="24"/>
          <w:szCs w:val="24"/>
        </w:rPr>
        <w:t>使用现场安装后进行验收，由买方组织进行，卖方代表参加。设备验收时按合同设备技术文件涉及的所有内容逐一检验。重点做好以下检验：</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.4.1</w:t>
      </w:r>
      <w:r>
        <w:rPr>
          <w:rFonts w:hint="eastAsia" w:ascii="宋体" w:hAnsi="宋体" w:eastAsia="宋体" w:cs="宋体"/>
          <w:sz w:val="24"/>
          <w:szCs w:val="24"/>
        </w:rPr>
        <w:t>外观质量、规格型号、附件和工具。</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.4.2</w:t>
      </w:r>
      <w:r>
        <w:rPr>
          <w:rFonts w:hint="eastAsia" w:ascii="宋体" w:hAnsi="宋体" w:eastAsia="宋体" w:cs="宋体"/>
          <w:sz w:val="24"/>
          <w:szCs w:val="24"/>
        </w:rPr>
        <w:t>关键零部件的检验。</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.4.3</w:t>
      </w:r>
      <w:r>
        <w:rPr>
          <w:rFonts w:hint="eastAsia" w:ascii="宋体" w:hAnsi="宋体" w:eastAsia="宋体" w:cs="宋体"/>
          <w:sz w:val="24"/>
          <w:szCs w:val="24"/>
        </w:rPr>
        <w:t>参数检验：对合同设备主要技术参数进行检验。</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.4.4</w:t>
      </w:r>
      <w:r>
        <w:rPr>
          <w:rFonts w:hint="eastAsia" w:ascii="宋体" w:hAnsi="宋体" w:eastAsia="宋体" w:cs="宋体"/>
          <w:sz w:val="24"/>
          <w:szCs w:val="24"/>
        </w:rPr>
        <w:t>精度检验：重点检验几何精度、定位精度、重复定位精度。几何精度按原厂出厂检测标准及国家标准，实测值不得高于公差上限的7</w:t>
      </w:r>
      <w:r>
        <w:rPr>
          <w:rFonts w:ascii="宋体" w:hAnsi="宋体" w:eastAsia="宋体" w:cs="宋体"/>
          <w:sz w:val="24"/>
          <w:szCs w:val="24"/>
        </w:rPr>
        <w:t>0</w:t>
      </w:r>
      <w:r>
        <w:rPr>
          <w:rFonts w:hint="eastAsia" w:ascii="宋体" w:hAnsi="宋体" w:eastAsia="宋体" w:cs="宋体"/>
          <w:sz w:val="24"/>
          <w:szCs w:val="24"/>
        </w:rPr>
        <w:t>%。定位精度重复定位精度按</w:t>
      </w:r>
      <w:r>
        <w:rPr>
          <w:rFonts w:ascii="宋体" w:hAnsi="宋体" w:eastAsia="宋体" w:cs="宋体"/>
          <w:sz w:val="24"/>
          <w:szCs w:val="24"/>
        </w:rPr>
        <w:t>VDI3441</w:t>
      </w:r>
      <w:r>
        <w:rPr>
          <w:rFonts w:hint="eastAsia" w:ascii="宋体" w:hAnsi="宋体" w:eastAsia="宋体" w:cs="宋体"/>
          <w:sz w:val="24"/>
          <w:szCs w:val="24"/>
        </w:rPr>
        <w:t>标准检测、评定。验收时需要连续拷机</w:t>
      </w:r>
      <w:r>
        <w:rPr>
          <w:rFonts w:ascii="宋体" w:hAnsi="宋体" w:eastAsia="宋体" w:cs="宋体"/>
          <w:sz w:val="24"/>
          <w:szCs w:val="24"/>
        </w:rPr>
        <w:t>48</w:t>
      </w:r>
      <w:r>
        <w:rPr>
          <w:rFonts w:hint="eastAsia" w:ascii="宋体" w:hAnsi="宋体" w:eastAsia="宋体" w:cs="宋体"/>
          <w:sz w:val="24"/>
          <w:szCs w:val="24"/>
        </w:rPr>
        <w:t>小时以上。</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.4.5</w:t>
      </w:r>
      <w:r>
        <w:rPr>
          <w:rFonts w:hint="eastAsia" w:ascii="宋体" w:hAnsi="宋体" w:eastAsia="宋体" w:cs="宋体"/>
          <w:sz w:val="24"/>
          <w:szCs w:val="24"/>
        </w:rPr>
        <w:t>技术资料清点。</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.4.6</w:t>
      </w:r>
      <w:r>
        <w:rPr>
          <w:rFonts w:hint="eastAsia" w:ascii="宋体" w:hAnsi="宋体" w:eastAsia="宋体" w:cs="宋体"/>
          <w:sz w:val="24"/>
          <w:szCs w:val="24"/>
        </w:rPr>
        <w:t>设备验收时若有不满足要求的情况，卖方需负全部责任。</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.5</w:t>
      </w:r>
      <w:r>
        <w:rPr>
          <w:rFonts w:hint="eastAsia" w:ascii="宋体" w:hAnsi="宋体" w:eastAsia="宋体" w:cs="宋体"/>
          <w:sz w:val="24"/>
          <w:szCs w:val="24"/>
        </w:rPr>
        <w:t>卖方负责买方相关人员的培训，包括并不限于操作、编程、安全、保养、维护等内容。</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1.6付款方式：</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银行转账或者银承电子承兑</w:t>
      </w:r>
      <w:r>
        <w:rPr>
          <w:rFonts w:hint="eastAsia" w:ascii="宋体" w:hAnsi="宋体" w:eastAsia="宋体" w:cs="宋体"/>
          <w:sz w:val="24"/>
          <w:szCs w:val="24"/>
        </w:rPr>
        <w:t>汇票；</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（2）合同签订后付第一笔款30%；</w:t>
      </w:r>
    </w:p>
    <w:p>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）产品按照甲方要求运送到指定交付地点，安装调试完毕，经甲方人员验收确认合格后，甲方支付第</w:t>
      </w:r>
      <w:r>
        <w:rPr>
          <w:rFonts w:hint="eastAsia" w:ascii="宋体" w:hAnsi="宋体" w:eastAsia="宋体" w:cs="宋体"/>
          <w:sz w:val="24"/>
          <w:szCs w:val="24"/>
          <w:lang w:val="en-US" w:eastAsia="zh-CN"/>
        </w:rPr>
        <w:t>二</w:t>
      </w:r>
      <w:r>
        <w:rPr>
          <w:rFonts w:hint="eastAsia" w:ascii="宋体" w:hAnsi="宋体" w:eastAsia="宋体" w:cs="宋体"/>
          <w:sz w:val="24"/>
          <w:szCs w:val="24"/>
        </w:rPr>
        <w:t>笔款30%；</w:t>
      </w:r>
    </w:p>
    <w:p>
      <w:pPr>
        <w:pStyle w:val="9"/>
        <w:ind w:left="0" w:leftChars="0" w:firstLine="0" w:firstLineChars="0"/>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乙方组织产品交付前功能性能试验，技术指标达到合同规定要求，且经甲方确认后，甲方付第</w:t>
      </w:r>
      <w:r>
        <w:rPr>
          <w:rFonts w:hint="eastAsia" w:ascii="宋体" w:hAnsi="宋体" w:eastAsia="宋体" w:cs="宋体"/>
          <w:sz w:val="24"/>
          <w:szCs w:val="24"/>
          <w:lang w:val="en-US" w:eastAsia="zh-CN"/>
        </w:rPr>
        <w:t>三</w:t>
      </w:r>
      <w:r>
        <w:rPr>
          <w:rFonts w:hint="eastAsia" w:ascii="宋体" w:hAnsi="宋体" w:eastAsia="宋体" w:cs="宋体"/>
          <w:sz w:val="24"/>
          <w:szCs w:val="24"/>
        </w:rPr>
        <w:t>笔款30%；</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（5）剩余10%转为质保金，在验收合格后一年后无质量问题一次性支付（无息）。</w:t>
      </w:r>
    </w:p>
    <w:p>
      <w:pPr>
        <w:widowControl w:val="0"/>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2、售后服务</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1</w:t>
      </w:r>
      <w:r>
        <w:rPr>
          <w:rFonts w:hint="eastAsia" w:ascii="宋体" w:hAnsi="宋体" w:eastAsia="宋体" w:cs="宋体"/>
          <w:sz w:val="24"/>
          <w:szCs w:val="24"/>
        </w:rPr>
        <w:t>设备整机质保期为终验收合格之日起一年。</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2</w:t>
      </w:r>
      <w:r>
        <w:rPr>
          <w:rFonts w:hint="eastAsia" w:ascii="宋体" w:hAnsi="宋体" w:eastAsia="宋体" w:cs="宋体"/>
          <w:sz w:val="24"/>
          <w:szCs w:val="24"/>
        </w:rPr>
        <w:t>在质保期内，若因机床故障造成停工，卖方应在</w:t>
      </w:r>
      <w:r>
        <w:rPr>
          <w:rFonts w:ascii="宋体" w:hAnsi="宋体" w:eastAsia="宋体" w:cs="宋体"/>
          <w:sz w:val="24"/>
          <w:szCs w:val="24"/>
        </w:rPr>
        <w:t>4</w:t>
      </w:r>
      <w:r>
        <w:rPr>
          <w:rFonts w:hint="eastAsia" w:ascii="宋体" w:hAnsi="宋体" w:eastAsia="宋体" w:cs="宋体"/>
          <w:sz w:val="24"/>
          <w:szCs w:val="24"/>
        </w:rPr>
        <w:t>小时内进行答复，</w:t>
      </w:r>
      <w:r>
        <w:rPr>
          <w:rFonts w:ascii="宋体" w:hAnsi="宋体" w:eastAsia="宋体" w:cs="宋体"/>
          <w:sz w:val="24"/>
          <w:szCs w:val="24"/>
        </w:rPr>
        <w:t>24</w:t>
      </w:r>
      <w:r>
        <w:rPr>
          <w:rFonts w:hint="eastAsia" w:ascii="宋体" w:hAnsi="宋体" w:eastAsia="宋体" w:cs="宋体"/>
          <w:sz w:val="24"/>
          <w:szCs w:val="24"/>
        </w:rPr>
        <w:t>小时内到达用户现场。</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3</w:t>
      </w:r>
      <w:r>
        <w:rPr>
          <w:rFonts w:hint="eastAsia" w:ascii="宋体" w:hAnsi="宋体" w:eastAsia="宋体" w:cs="宋体"/>
          <w:sz w:val="24"/>
          <w:szCs w:val="24"/>
        </w:rPr>
        <w:t>卖方应明确提出设备运行所需的配套风、水、气、电等设施及相应条件，如动力电源、空气压力和用量以及供给口等具体要求。</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4</w:t>
      </w:r>
      <w:r>
        <w:rPr>
          <w:rFonts w:hint="eastAsia" w:ascii="宋体" w:hAnsi="宋体" w:eastAsia="宋体" w:cs="宋体"/>
          <w:sz w:val="24"/>
          <w:szCs w:val="24"/>
        </w:rPr>
        <w:t>卖方应保证用户方在使用卖方提供的货物或其任何一部分时不受第三方提出侵犯专利权、商标权或工业设计权的指控。如果有第三方提出侵权指控，卖方须与第三方交涉并承担可能发生的一切法律责任和费用。</w:t>
      </w:r>
    </w:p>
    <w:p>
      <w:pPr>
        <w:widowControl w:val="0"/>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3、其他要求</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.1</w:t>
      </w:r>
      <w:r>
        <w:rPr>
          <w:rFonts w:hint="eastAsia" w:ascii="宋体" w:hAnsi="宋体" w:eastAsia="宋体" w:cs="宋体"/>
          <w:sz w:val="24"/>
          <w:szCs w:val="24"/>
        </w:rPr>
        <w:t>投标方应对以上条款进行逐条响应，完全响应注明“</w:t>
      </w:r>
      <w:r>
        <w:rPr>
          <w:rFonts w:hint="eastAsia" w:ascii="宋体" w:hAnsi="宋体" w:eastAsia="宋体" w:cs="宋体"/>
          <w:b/>
          <w:sz w:val="24"/>
          <w:szCs w:val="24"/>
        </w:rPr>
        <w:t>符合</w:t>
      </w:r>
      <w:r>
        <w:rPr>
          <w:rFonts w:hint="eastAsia" w:ascii="宋体" w:hAnsi="宋体" w:eastAsia="宋体" w:cs="宋体"/>
          <w:sz w:val="24"/>
          <w:szCs w:val="24"/>
        </w:rPr>
        <w:t>”，如有偏离须注明“</w:t>
      </w:r>
      <w:r>
        <w:rPr>
          <w:rFonts w:hint="eastAsia" w:ascii="宋体" w:hAnsi="宋体" w:eastAsia="宋体" w:cs="宋体"/>
          <w:b/>
          <w:sz w:val="24"/>
          <w:szCs w:val="24"/>
        </w:rPr>
        <w:t>偏离</w:t>
      </w:r>
      <w:r>
        <w:rPr>
          <w:rFonts w:hint="eastAsia" w:ascii="宋体" w:hAnsi="宋体" w:eastAsia="宋体" w:cs="宋体"/>
          <w:sz w:val="24"/>
          <w:szCs w:val="24"/>
        </w:rPr>
        <w:t>”并描述偏离内容，是“</w:t>
      </w:r>
      <w:r>
        <w:rPr>
          <w:rFonts w:hint="eastAsia" w:ascii="宋体" w:hAnsi="宋体" w:eastAsia="宋体" w:cs="宋体"/>
          <w:b/>
          <w:sz w:val="24"/>
          <w:szCs w:val="24"/>
        </w:rPr>
        <w:t>优于</w:t>
      </w:r>
      <w:r>
        <w:rPr>
          <w:rFonts w:hint="eastAsia" w:ascii="宋体" w:hAnsi="宋体" w:eastAsia="宋体" w:cs="宋体"/>
          <w:sz w:val="24"/>
          <w:szCs w:val="24"/>
        </w:rPr>
        <w:t>”条款要求还是“</w:t>
      </w:r>
      <w:r>
        <w:rPr>
          <w:rFonts w:hint="eastAsia" w:ascii="宋体" w:hAnsi="宋体" w:eastAsia="宋体" w:cs="宋体"/>
          <w:b/>
          <w:sz w:val="24"/>
          <w:szCs w:val="24"/>
        </w:rPr>
        <w:t>未达到</w:t>
      </w:r>
      <w:r>
        <w:rPr>
          <w:rFonts w:hint="eastAsia" w:ascii="宋体" w:hAnsi="宋体" w:eastAsia="宋体" w:cs="宋体"/>
          <w:sz w:val="24"/>
          <w:szCs w:val="24"/>
        </w:rPr>
        <w:t>”条款要求。标★的条款必须符合。</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.2</w:t>
      </w:r>
      <w:r>
        <w:rPr>
          <w:rFonts w:hint="eastAsia" w:ascii="宋体" w:hAnsi="宋体" w:eastAsia="宋体" w:cs="宋体"/>
          <w:sz w:val="24"/>
          <w:szCs w:val="24"/>
        </w:rPr>
        <w:t>本招标文件中涉及产品的品牌、型号，仅为供应商提供报价产品的技术指标、产品质量的客观参考，帮助供应商准确理解采购人的需求，其建议产品的品牌、型号具有可替代性，但必须明确说明。</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.3</w:t>
      </w:r>
      <w:r>
        <w:rPr>
          <w:rFonts w:hint="eastAsia" w:ascii="宋体" w:hAnsi="宋体" w:eastAsia="宋体" w:cs="宋体"/>
          <w:sz w:val="24"/>
          <w:szCs w:val="24"/>
        </w:rPr>
        <w:t>本文件中甲方、用户、需方、买方等泛指采购人，乙方、供方、卖方等泛指供应商。</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.4</w:t>
      </w:r>
      <w:r>
        <w:rPr>
          <w:rFonts w:hint="eastAsia" w:ascii="宋体" w:hAnsi="宋体" w:eastAsia="宋体" w:cs="宋体"/>
          <w:sz w:val="24"/>
          <w:szCs w:val="24"/>
        </w:rPr>
        <w:t>投标方应另附独立章节详细说明设备结构特点、技术参数、配置等。</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.5</w:t>
      </w:r>
      <w:r>
        <w:rPr>
          <w:rFonts w:hint="eastAsia" w:ascii="宋体" w:hAnsi="宋体" w:eastAsia="宋体" w:cs="宋体"/>
          <w:sz w:val="24"/>
          <w:szCs w:val="24"/>
        </w:rPr>
        <w:t>投标方应另附独立章节详细说明原厂商规模实力、技术服务能力，卖方规模实力、技术服务能力。</w:t>
      </w:r>
    </w:p>
    <w:p>
      <w:pPr>
        <w:pStyle w:val="9"/>
        <w:spacing w:line="360" w:lineRule="auto"/>
        <w:ind w:firstLine="480"/>
        <w:rPr>
          <w:rFonts w:ascii="宋体" w:hAnsi="宋体" w:eastAsia="宋体" w:cs="宋体"/>
          <w:sz w:val="24"/>
          <w:szCs w:val="2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pStyle w:val="9"/>
        <w:rPr>
          <w:rFonts w:ascii="宋体" w:hAnsi="宋体" w:eastAsia="宋体" w:cs="宋体"/>
          <w:b/>
          <w:bCs/>
          <w:sz w:val="36"/>
          <w:szCs w:val="44"/>
        </w:rPr>
      </w:pPr>
    </w:p>
    <w:p>
      <w:pPr>
        <w:pStyle w:val="9"/>
        <w:rPr>
          <w:rFonts w:ascii="宋体" w:hAnsi="宋体" w:eastAsia="宋体" w:cs="宋体"/>
          <w:b/>
          <w:bCs/>
          <w:sz w:val="36"/>
          <w:szCs w:val="44"/>
        </w:rPr>
      </w:pPr>
    </w:p>
    <w:p>
      <w:pPr>
        <w:pStyle w:val="9"/>
        <w:rPr>
          <w:rFonts w:ascii="宋体" w:hAnsi="宋体" w:eastAsia="宋体" w:cs="宋体"/>
          <w:b/>
          <w:bCs/>
          <w:sz w:val="36"/>
          <w:szCs w:val="44"/>
        </w:rPr>
      </w:pPr>
    </w:p>
    <w:p>
      <w:pPr>
        <w:spacing w:before="240" w:beforeLines="100" w:line="360" w:lineRule="auto"/>
        <w:jc w:val="center"/>
        <w:outlineLvl w:val="0"/>
        <w:rPr>
          <w:rFonts w:ascii="宋体" w:hAnsi="宋体" w:eastAsia="宋体" w:cs="宋体"/>
          <w:b/>
          <w:sz w:val="36"/>
          <w:szCs w:val="36"/>
          <w14:textOutline w14:w="6527" w14:cap="flat" w14:cmpd="sng" w14:algn="ctr">
            <w14:solidFill>
              <w14:srgbClr w14:val="000000"/>
            </w14:solidFill>
            <w14:prstDash w14:val="solid"/>
            <w14:miter w14:val="0"/>
          </w14:textOutline>
        </w:rPr>
      </w:pPr>
      <w:bookmarkStart w:id="3" w:name="_Toc22926"/>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二、投标人须知</w:t>
      </w:r>
      <w:bookmarkEnd w:id="3"/>
    </w:p>
    <w:p>
      <w:pPr>
        <w:spacing w:before="329" w:line="360" w:lineRule="auto"/>
        <w:ind w:firstLine="560" w:firstLineChars="200"/>
        <w:rPr>
          <w:rFonts w:ascii="黑体" w:hAnsi="黑体" w:eastAsia="黑体" w:cs="黑体"/>
          <w:sz w:val="28"/>
          <w:szCs w:val="28"/>
        </w:rPr>
      </w:pPr>
      <w:r>
        <w:rPr>
          <w:rFonts w:hint="eastAsia" w:ascii="黑体" w:hAnsi="黑体" w:eastAsia="黑体" w:cs="黑体"/>
          <w:sz w:val="28"/>
          <w:szCs w:val="28"/>
        </w:rPr>
        <w:t>（一）</w:t>
      </w:r>
      <w:r>
        <w:rPr>
          <w:rFonts w:ascii="黑体" w:hAnsi="黑体" w:eastAsia="黑体" w:cs="黑体"/>
          <w:sz w:val="28"/>
          <w:szCs w:val="28"/>
        </w:rPr>
        <w:t>投标要求</w:t>
      </w:r>
    </w:p>
    <w:p>
      <w:pPr>
        <w:spacing w:before="255"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投标人应遵守国家有关招标投标法律、法规、部门规章和规范性文件。</w:t>
      </w:r>
    </w:p>
    <w:p>
      <w:pPr>
        <w:spacing w:before="227"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投标资</w:t>
      </w:r>
      <w:r>
        <w:rPr>
          <w:rFonts w:hint="eastAsia" w:ascii="宋体" w:hAnsi="宋体" w:eastAsia="宋体" w:cs="宋体"/>
          <w:sz w:val="24"/>
          <w:szCs w:val="24"/>
        </w:rPr>
        <w:t>格（包括但不限于）：</w:t>
      </w:r>
    </w:p>
    <w:p>
      <w:pPr>
        <w:numPr>
          <w:ilvl w:val="0"/>
          <w:numId w:val="2"/>
        </w:numPr>
        <w:spacing w:before="192" w:line="360" w:lineRule="auto"/>
        <w:ind w:left="0" w:firstLine="480" w:firstLineChars="200"/>
        <w:rPr>
          <w:rFonts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fldChar w:fldCharType="begin"/>
      </w:r>
      <w:r>
        <w:instrText xml:space="preserve"> HYPERLINK "https://baike.baidu.com/item/%E5%AE%89%E5%85%A8%E7%94%9F%E4%BA%A7%E8%AE%B8%E5%8F%AF%E8%AF%81" </w:instrText>
      </w:r>
      <w: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p>
    <w:p>
      <w:pPr>
        <w:numPr>
          <w:ilvl w:val="0"/>
          <w:numId w:val="2"/>
        </w:numPr>
        <w:tabs>
          <w:tab w:val="left" w:pos="620"/>
        </w:tabs>
        <w:spacing w:before="34" w:line="360" w:lineRule="auto"/>
        <w:ind w:left="0"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中国信用网资信证明</w:t>
      </w:r>
    </w:p>
    <w:p>
      <w:pPr>
        <w:numPr>
          <w:ilvl w:val="0"/>
          <w:numId w:val="2"/>
        </w:numPr>
        <w:tabs>
          <w:tab w:val="left" w:pos="620"/>
        </w:tabs>
        <w:spacing w:before="34" w:line="360" w:lineRule="auto"/>
        <w:ind w:left="0" w:firstLine="480" w:firstLineChars="200"/>
        <w:rPr>
          <w:rFonts w:ascii="宋体" w:hAnsi="宋体" w:eastAsia="宋体" w:cs="宋体"/>
          <w:color w:val="auto"/>
          <w:sz w:val="24"/>
          <w:szCs w:val="24"/>
        </w:rPr>
      </w:pPr>
      <w:r>
        <w:rPr>
          <w:rFonts w:hint="eastAsia" w:ascii="宋体" w:hAnsi="宋体" w:eastAsia="宋体" w:cs="宋体"/>
          <w:color w:val="auto"/>
          <w:sz w:val="24"/>
          <w:szCs w:val="24"/>
        </w:rPr>
        <w:t>财务审计报告或上年度财务报表</w:t>
      </w:r>
    </w:p>
    <w:p>
      <w:pPr>
        <w:numPr>
          <w:ilvl w:val="0"/>
          <w:numId w:val="2"/>
        </w:numPr>
        <w:tabs>
          <w:tab w:val="left" w:pos="620"/>
        </w:tabs>
        <w:spacing w:before="34" w:line="360" w:lineRule="auto"/>
        <w:ind w:left="0" w:firstLine="480" w:firstLineChars="200"/>
        <w:rPr>
          <w:rFonts w:ascii="宋体" w:hAnsi="宋体" w:eastAsia="宋体" w:cs="宋体"/>
          <w:color w:val="auto"/>
          <w:sz w:val="24"/>
          <w:szCs w:val="24"/>
        </w:rPr>
      </w:pPr>
      <w:r>
        <w:rPr>
          <w:rFonts w:hint="eastAsia" w:ascii="宋体" w:hAnsi="宋体" w:eastAsia="宋体" w:cs="宋体"/>
          <w:color w:val="auto"/>
          <w:sz w:val="24"/>
          <w:szCs w:val="24"/>
        </w:rPr>
        <w:t>供货业绩</w:t>
      </w:r>
    </w:p>
    <w:p>
      <w:pPr>
        <w:tabs>
          <w:tab w:val="left" w:pos="620"/>
        </w:tabs>
        <w:spacing w:before="34"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3、投标费用：投标人应承担投标过程中所涉及的一切费用，不管投标结果如何，招标人对上述费用不负任何责任。</w:t>
      </w:r>
    </w:p>
    <w:p>
      <w:pPr>
        <w:spacing w:before="329" w:line="360" w:lineRule="auto"/>
        <w:ind w:firstLine="560" w:firstLineChars="200"/>
        <w:rPr>
          <w:rFonts w:ascii="黑体" w:hAnsi="黑体" w:eastAsia="黑体" w:cs="黑体"/>
          <w:sz w:val="28"/>
          <w:szCs w:val="28"/>
        </w:rPr>
      </w:pPr>
      <w:r>
        <w:rPr>
          <w:rFonts w:hint="eastAsia" w:ascii="黑体" w:hAnsi="黑体" w:eastAsia="黑体" w:cs="黑体"/>
          <w:sz w:val="28"/>
          <w:szCs w:val="28"/>
        </w:rPr>
        <w:t>（二）投标报价</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1、投标报价要求按招标文件要求报价，并按招标文件中所</w:t>
      </w:r>
      <w:r>
        <w:rPr>
          <w:rFonts w:ascii="宋体" w:hAnsi="宋体" w:eastAsia="宋体" w:cs="宋体"/>
          <w:sz w:val="24"/>
          <w:szCs w:val="24"/>
        </w:rPr>
        <w:t>附《投标函》</w:t>
      </w:r>
      <w:r>
        <w:rPr>
          <w:rFonts w:hint="eastAsia" w:ascii="宋体" w:hAnsi="宋体" w:eastAsia="宋体" w:cs="宋体"/>
          <w:sz w:val="24"/>
          <w:szCs w:val="24"/>
        </w:rPr>
        <w:t>、</w:t>
      </w:r>
      <w:r>
        <w:rPr>
          <w:rFonts w:ascii="宋体" w:hAnsi="宋体" w:eastAsia="宋体" w:cs="宋体"/>
          <w:sz w:val="24"/>
          <w:szCs w:val="24"/>
        </w:rPr>
        <w:t>《投标报价表》格式填写。</w:t>
      </w:r>
    </w:p>
    <w:p>
      <w:pPr>
        <w:spacing w:before="228"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所有投标均以人民币报价。</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3、投标人所报单价在本招标文件项下的合同履行期间不能因市场变化因素而变动。</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4、投标人所报的各种价格均为含税到招标人指定地点交货价（包含产品包装、运输、装卸等相关费用）；投标报价以元为单位，精确到小数点后两位数，超出两位按四舍五入计；包装物投标人不回收，费用由投标人负担。</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5、招标人有权重视各投标人全部报价的合理性。所有投标人不能相互串通、哄抬报价，若有发现，招标人有权宣布其投标无效。</w:t>
      </w:r>
    </w:p>
    <w:p>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三</w:t>
      </w:r>
      <w:r>
        <w:rPr>
          <w:rFonts w:hint="eastAsia" w:ascii="黑体" w:hAnsi="黑体" w:eastAsia="黑体" w:cs="黑体"/>
          <w:sz w:val="28"/>
          <w:szCs w:val="28"/>
        </w:rPr>
        <w:t>）</w:t>
      </w:r>
      <w:r>
        <w:rPr>
          <w:rFonts w:ascii="黑体" w:hAnsi="黑体" w:eastAsia="黑体" w:cs="黑体"/>
          <w:sz w:val="28"/>
          <w:szCs w:val="28"/>
        </w:rPr>
        <w:t>投标文件</w:t>
      </w:r>
    </w:p>
    <w:p>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1、投标人应填写其单位名称全称。</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2、投标文件包括《投标函》、《投标报价表》、《技术协议》、《技术和商务条款响应表》、《投标人产品质量承诺函》、《售后服务承诺》、《投资人的资格申明》、《法定代表人授权书》、《业绩表》、《制造商资质证明条件》、《制造商授权代理商文件》和资格证明文件。资格证明文件包含上述投标资格要求中的所有资料。</w:t>
      </w:r>
    </w:p>
    <w:p>
      <w:pPr>
        <w:spacing w:before="226" w:line="360" w:lineRule="auto"/>
        <w:ind w:right="61" w:firstLine="480" w:firstLineChars="200"/>
        <w:rPr>
          <w:rFonts w:ascii="宋体" w:hAnsi="宋体" w:eastAsia="宋体" w:cs="宋体"/>
          <w:sz w:val="24"/>
          <w:szCs w:val="24"/>
        </w:rPr>
      </w:pPr>
      <w:r>
        <w:rPr>
          <w:rFonts w:hint="eastAsia" w:ascii="宋体" w:hAnsi="宋体" w:eastAsia="宋体" w:cs="宋体"/>
          <w:sz w:val="24"/>
          <w:szCs w:val="24"/>
        </w:rPr>
        <w:t>3、《投标函》、《投标报价表》须加盖投标人公章，由其法定代表人或其委托代理人亲笔签字。</w:t>
      </w:r>
    </w:p>
    <w:p>
      <w:pPr>
        <w:spacing w:before="226" w:line="360" w:lineRule="auto"/>
        <w:ind w:right="61" w:firstLine="480" w:firstLineChars="200"/>
        <w:rPr>
          <w:rFonts w:ascii="黑体" w:hAnsi="黑体" w:eastAsia="黑体" w:cs="黑体"/>
          <w:sz w:val="28"/>
          <w:szCs w:val="28"/>
        </w:rPr>
      </w:pPr>
      <w:r>
        <w:rPr>
          <w:rFonts w:hint="eastAsia" w:ascii="宋体" w:hAnsi="宋体" w:eastAsia="宋体" w:cs="宋体"/>
          <w:sz w:val="24"/>
          <w:szCs w:val="24"/>
        </w:rPr>
        <w:t>4、自开标之日起60天内，投标文件应保持有效。有效期短于前述规定期限的投标，将被拒绝。</w:t>
      </w:r>
    </w:p>
    <w:p>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四</w:t>
      </w:r>
      <w:r>
        <w:rPr>
          <w:rFonts w:hint="eastAsia" w:ascii="黑体" w:hAnsi="黑体" w:eastAsia="黑体" w:cs="黑体"/>
          <w:sz w:val="28"/>
          <w:szCs w:val="28"/>
        </w:rPr>
        <w:t>）</w:t>
      </w:r>
      <w:r>
        <w:rPr>
          <w:rFonts w:ascii="黑体" w:hAnsi="黑体" w:eastAsia="黑体" w:cs="黑体"/>
          <w:sz w:val="28"/>
          <w:szCs w:val="28"/>
        </w:rPr>
        <w:t>开标、评标、定标</w:t>
      </w:r>
    </w:p>
    <w:p>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1、开标时，将按照招标人有关招投标规定执行。</w:t>
      </w:r>
    </w:p>
    <w:p>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2、开标后由招标人组建的评标委员会进行评标，</w:t>
      </w:r>
      <w:r>
        <w:rPr>
          <w:rFonts w:ascii="宋体" w:hAnsi="宋体" w:eastAsia="宋体" w:cs="宋体"/>
          <w:sz w:val="24"/>
          <w:szCs w:val="24"/>
        </w:rPr>
        <w:t>以经评审的</w:t>
      </w:r>
      <w:r>
        <w:rPr>
          <w:rFonts w:hint="eastAsia" w:ascii="宋体" w:hAnsi="宋体" w:eastAsia="宋体" w:cs="宋体"/>
          <w:sz w:val="24"/>
          <w:szCs w:val="24"/>
        </w:rPr>
        <w:t>综合评分</w:t>
      </w:r>
      <w:r>
        <w:rPr>
          <w:rFonts w:ascii="宋体" w:hAnsi="宋体" w:eastAsia="宋体" w:cs="宋体"/>
          <w:sz w:val="24"/>
          <w:szCs w:val="24"/>
        </w:rPr>
        <w:t>法确定中标人。</w:t>
      </w:r>
    </w:p>
    <w:p>
      <w:pPr>
        <w:spacing w:before="225"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招标人不对未中标的投标人作任何解释，不退还投标文件。</w:t>
      </w:r>
    </w:p>
    <w:p>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五</w:t>
      </w:r>
      <w:r>
        <w:rPr>
          <w:rFonts w:hint="eastAsia" w:ascii="黑体" w:hAnsi="黑体" w:eastAsia="黑体" w:cs="黑体"/>
          <w:sz w:val="28"/>
          <w:szCs w:val="28"/>
        </w:rPr>
        <w:t>）</w:t>
      </w:r>
      <w:r>
        <w:rPr>
          <w:rFonts w:ascii="黑体" w:hAnsi="黑体" w:eastAsia="黑体" w:cs="黑体"/>
          <w:sz w:val="28"/>
          <w:szCs w:val="28"/>
        </w:rPr>
        <w:t>合同签订</w:t>
      </w:r>
    </w:p>
    <w:p>
      <w:pPr>
        <w:spacing w:before="257"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中标人应在接到中标通知书之日起</w:t>
      </w:r>
      <w:r>
        <w:rPr>
          <w:rFonts w:hint="eastAsia" w:ascii="宋体" w:hAnsi="宋体" w:eastAsia="宋体" w:cs="宋体"/>
          <w:sz w:val="24"/>
          <w:szCs w:val="24"/>
          <w:lang w:val="en-US" w:eastAsia="zh-CN"/>
        </w:rPr>
        <w:t>10</w:t>
      </w:r>
      <w:r>
        <w:rPr>
          <w:rFonts w:ascii="宋体" w:hAnsi="宋体" w:eastAsia="宋体" w:cs="宋体"/>
          <w:sz w:val="24"/>
          <w:szCs w:val="24"/>
        </w:rPr>
        <w:t>日内（含节假日）与招标人签订买卖合同，中标人因自身原因不与招标人签订买卖合同的，视为自愿放弃该次中标。</w:t>
      </w:r>
    </w:p>
    <w:p>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中标人必须保证中标产品质量的稳定，如果招标人发现产品质量不符合本招标文件要求的标准，或者发生质量下降，招标人有权单方面终止买卖合同。</w:t>
      </w:r>
    </w:p>
    <w:p>
      <w:pPr>
        <w:spacing w:before="228"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中标人延误买卖合同约定的产品交付期限，招标人有权追究中标人责任。</w:t>
      </w:r>
    </w:p>
    <w:p>
      <w:pPr>
        <w:spacing w:before="226" w:line="360" w:lineRule="auto"/>
        <w:ind w:right="80" w:firstLine="480" w:firstLineChars="200"/>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在买卖合同有效期内，中标人如违反买卖合同的约定，招标人有权单方面终止买卖合同。</w:t>
      </w:r>
    </w:p>
    <w:p>
      <w:pPr>
        <w:pStyle w:val="9"/>
      </w:pPr>
    </w:p>
    <w:p>
      <w:pPr>
        <w:spacing w:before="229"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六</w:t>
      </w:r>
      <w:r>
        <w:rPr>
          <w:rFonts w:hint="eastAsia" w:ascii="黑体" w:hAnsi="黑体" w:eastAsia="黑体" w:cs="黑体"/>
          <w:sz w:val="28"/>
          <w:szCs w:val="28"/>
        </w:rPr>
        <w:t>）</w:t>
      </w:r>
      <w:r>
        <w:rPr>
          <w:rFonts w:ascii="黑体" w:hAnsi="黑体" w:eastAsia="黑体" w:cs="黑体"/>
          <w:sz w:val="28"/>
          <w:szCs w:val="28"/>
        </w:rPr>
        <w:t>纪律要求</w:t>
      </w:r>
    </w:p>
    <w:p>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评标委员会及其组成人员应严格自律，严格遵守国家法律、法规，并接受监察部门的监督。</w:t>
      </w:r>
    </w:p>
    <w:p>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七</w:t>
      </w:r>
      <w:r>
        <w:rPr>
          <w:rFonts w:hint="eastAsia" w:ascii="黑体" w:hAnsi="黑体" w:eastAsia="黑体" w:cs="黑体"/>
          <w:sz w:val="28"/>
          <w:szCs w:val="28"/>
        </w:rPr>
        <w:t>）</w:t>
      </w:r>
      <w:r>
        <w:rPr>
          <w:rFonts w:ascii="黑体" w:hAnsi="黑体" w:eastAsia="黑体" w:cs="黑体"/>
          <w:sz w:val="28"/>
          <w:szCs w:val="28"/>
        </w:rPr>
        <w:t>其他</w:t>
      </w:r>
    </w:p>
    <w:p>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中标人若改变原材料配方和生产工艺，需征得招标人同意，并需重新认可。</w:t>
      </w:r>
    </w:p>
    <w:p>
      <w:pPr>
        <w:spacing w:before="225"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w:t>
      </w:r>
      <w:r>
        <w:rPr>
          <w:rFonts w:hint="eastAsia" w:ascii="宋体" w:hAnsi="宋体" w:eastAsia="宋体" w:cs="宋体"/>
          <w:sz w:val="24"/>
          <w:szCs w:val="24"/>
        </w:rPr>
        <w:t>。</w:t>
      </w:r>
    </w:p>
    <w:p>
      <w:pPr>
        <w:pStyle w:val="9"/>
        <w:spacing w:line="360" w:lineRule="auto"/>
        <w:ind w:firstLine="480"/>
        <w:rPr>
          <w:rFonts w:ascii="宋体" w:hAnsi="宋体" w:eastAsia="宋体" w:cs="宋体"/>
          <w:sz w:val="24"/>
          <w:szCs w:val="24"/>
        </w:rPr>
      </w:pPr>
    </w:p>
    <w:p>
      <w:pPr>
        <w:pStyle w:val="9"/>
        <w:spacing w:line="360" w:lineRule="auto"/>
        <w:ind w:firstLine="480"/>
        <w:rPr>
          <w:rFonts w:ascii="宋体" w:hAnsi="宋体" w:eastAsia="宋体" w:cs="宋体"/>
          <w:sz w:val="24"/>
          <w:szCs w:val="24"/>
        </w:rPr>
      </w:pPr>
    </w:p>
    <w:p>
      <w:pPr>
        <w:kinsoku/>
        <w:autoSpaceDE/>
        <w:autoSpaceDN/>
        <w:adjustRightInd/>
        <w:snapToGrid/>
        <w:spacing w:line="360" w:lineRule="auto"/>
        <w:textAlignment w:val="auto"/>
        <w:rPr>
          <w:rFonts w:ascii="宋体" w:hAnsi="宋体" w:eastAsia="宋体" w:cs="宋体"/>
          <w:b/>
          <w:bCs/>
          <w:sz w:val="36"/>
          <w:szCs w:val="44"/>
        </w:rPr>
      </w:pPr>
      <w:r>
        <w:rPr>
          <w:rFonts w:ascii="宋体" w:hAnsi="宋体" w:eastAsia="宋体" w:cs="宋体"/>
          <w:b/>
          <w:bCs/>
          <w:sz w:val="36"/>
          <w:szCs w:val="44"/>
        </w:rPr>
        <w:br w:type="page"/>
      </w:r>
    </w:p>
    <w:p>
      <w:pPr>
        <w:widowControl w:val="0"/>
        <w:kinsoku/>
        <w:autoSpaceDE/>
        <w:autoSpaceDN/>
        <w:adjustRightInd/>
        <w:snapToGrid/>
        <w:spacing w:line="360" w:lineRule="auto"/>
        <w:ind w:firstLine="723" w:firstLineChars="200"/>
        <w:jc w:val="center"/>
        <w:textAlignment w:val="auto"/>
        <w:rPr>
          <w:rFonts w:ascii="宋体" w:hAnsi="宋体" w:eastAsia="宋体" w:cs="宋体"/>
          <w:sz w:val="24"/>
          <w:szCs w:val="32"/>
        </w:rPr>
      </w:pPr>
      <w:r>
        <w:rPr>
          <w:rFonts w:hint="eastAsia" w:ascii="宋体" w:hAnsi="宋体" w:eastAsia="宋体" w:cs="宋体"/>
          <w:b/>
          <w:bCs/>
          <w:sz w:val="36"/>
          <w:szCs w:val="44"/>
        </w:rPr>
        <w:t>设备</w:t>
      </w:r>
      <w:r>
        <w:rPr>
          <w:rFonts w:hint="eastAsia" w:ascii="宋体" w:hAnsi="宋体" w:eastAsia="宋体" w:cs="宋体"/>
          <w:b/>
          <w:bCs/>
          <w:sz w:val="36"/>
          <w:szCs w:val="44"/>
          <w:lang w:val="en-US" w:eastAsia="zh-CN"/>
        </w:rPr>
        <w:t>最低价</w:t>
      </w:r>
      <w:r>
        <w:rPr>
          <w:rFonts w:hint="eastAsia" w:ascii="宋体" w:hAnsi="宋体" w:eastAsia="宋体" w:cs="宋体"/>
          <w:b/>
          <w:bCs/>
          <w:sz w:val="36"/>
          <w:szCs w:val="44"/>
        </w:rPr>
        <w:t>评标评分标准</w:t>
      </w:r>
    </w:p>
    <w:p>
      <w:pPr>
        <w:widowControl w:val="0"/>
        <w:kinsoku/>
        <w:autoSpaceDE/>
        <w:autoSpaceDN/>
        <w:adjustRightInd/>
        <w:snapToGrid/>
        <w:spacing w:before="120" w:beforeLines="50" w:line="360" w:lineRule="auto"/>
        <w:ind w:firstLine="482" w:firstLineChars="200"/>
        <w:jc w:val="both"/>
        <w:textAlignment w:val="auto"/>
        <w:rPr>
          <w:rFonts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w:t>
      </w:r>
      <w:r>
        <w:rPr>
          <w:rFonts w:ascii="宋体" w:hAnsi="宋体" w:eastAsia="宋体" w:cs="宋体"/>
          <w:b/>
          <w:bCs/>
          <w:sz w:val="24"/>
        </w:rPr>
        <w:t>0</w:t>
      </w:r>
      <w:r>
        <w:rPr>
          <w:rFonts w:hint="eastAsia" w:ascii="宋体" w:hAnsi="宋体" w:eastAsia="宋体" w:cs="宋体"/>
          <w:b/>
          <w:bCs/>
          <w:sz w:val="24"/>
        </w:rPr>
        <w:t>分）</w:t>
      </w:r>
    </w:p>
    <w:tbl>
      <w:tblPr>
        <w:tblStyle w:val="5"/>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pPr>
              <w:pStyle w:val="2"/>
              <w:widowControl w:val="0"/>
              <w:kinsoku/>
              <w:autoSpaceDE/>
              <w:autoSpaceDN/>
              <w:spacing w:line="360" w:lineRule="auto"/>
              <w:jc w:val="center"/>
              <w:textAlignment w:val="auto"/>
              <w:rPr>
                <w:rFonts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ascii="宋体" w:hAnsi="宋体" w:eastAsia="宋体" w:cs="宋体"/>
                <w:color w:val="auto"/>
                <w:sz w:val="24"/>
                <w:szCs w:val="24"/>
              </w:rPr>
              <w:t>0</w:t>
            </w:r>
            <w:r>
              <w:rPr>
                <w:rFonts w:hint="eastAsia" w:ascii="宋体" w:hAnsi="宋体" w:eastAsia="宋体" w:cs="宋体"/>
                <w:color w:val="auto"/>
                <w:sz w:val="24"/>
                <w:szCs w:val="24"/>
              </w:rPr>
              <w:t>分</w:t>
            </w:r>
          </w:p>
        </w:tc>
        <w:tc>
          <w:tcPr>
            <w:tcW w:w="5296" w:type="dxa"/>
            <w:tcMar>
              <w:left w:w="103" w:type="dxa"/>
            </w:tcMar>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lang w:val="en-US" w:eastAsia="zh-CN"/>
              </w:rPr>
            </w:pPr>
            <w:r>
              <w:rPr>
                <w:rFonts w:hint="eastAsia" w:ascii="宋体" w:hAnsi="宋体" w:eastAsia="宋体" w:cs="宋体"/>
                <w:color w:val="auto"/>
                <w:kern w:val="0"/>
                <w:sz w:val="24"/>
                <w:szCs w:val="24"/>
                <w:highlight w:val="none"/>
                <w:lang w:val="en-US" w:eastAsia="zh-CN"/>
              </w:rPr>
              <w:t>关键参数：一项不响应扣5分。</w:t>
            </w:r>
          </w:p>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一般参数：一项不响应扣1分。</w:t>
            </w:r>
          </w:p>
        </w:tc>
        <w:tc>
          <w:tcPr>
            <w:tcW w:w="1134" w:type="dxa"/>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p>
        </w:tc>
      </w:tr>
    </w:tbl>
    <w:p>
      <w:pPr>
        <w:spacing w:line="360" w:lineRule="auto"/>
        <w:jc w:val="both"/>
        <w:rPr>
          <w:rFonts w:ascii="宋体" w:hAnsi="宋体" w:eastAsia="宋体" w:cs="宋体"/>
          <w:b/>
          <w:bCs/>
          <w:sz w:val="24"/>
        </w:rPr>
      </w:pPr>
    </w:p>
    <w:p>
      <w:pPr>
        <w:spacing w:line="360" w:lineRule="auto"/>
        <w:ind w:firstLine="482" w:firstLineChars="200"/>
        <w:jc w:val="both"/>
        <w:rPr>
          <w:rFonts w:ascii="宋体" w:hAnsi="宋体" w:eastAsia="宋体" w:cs="宋体"/>
          <w:b/>
          <w:bCs/>
          <w:sz w:val="24"/>
        </w:rPr>
      </w:pPr>
      <w:r>
        <w:rPr>
          <w:rFonts w:hint="eastAsia" w:ascii="宋体" w:hAnsi="宋体" w:eastAsia="宋体" w:cs="宋体"/>
          <w:b/>
          <w:bCs/>
          <w:sz w:val="24"/>
        </w:rPr>
        <w:t>2、商务部分（分值2</w:t>
      </w:r>
      <w:r>
        <w:rPr>
          <w:rFonts w:ascii="宋体" w:hAnsi="宋体" w:eastAsia="宋体" w:cs="宋体"/>
          <w:b/>
          <w:bCs/>
          <w:sz w:val="24"/>
        </w:rPr>
        <w:t>0</w:t>
      </w:r>
      <w:r>
        <w:rPr>
          <w:rFonts w:hint="eastAsia" w:ascii="宋体" w:hAnsi="宋体" w:eastAsia="宋体" w:cs="宋体"/>
          <w:b/>
          <w:bCs/>
          <w:sz w:val="24"/>
        </w:rPr>
        <w:t>分）</w:t>
      </w:r>
    </w:p>
    <w:tbl>
      <w:tblPr>
        <w:tblStyle w:val="5"/>
        <w:tblW w:w="9180" w:type="dxa"/>
        <w:tblInd w:w="13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10"/>
        <w:gridCol w:w="1180"/>
        <w:gridCol w:w="860"/>
        <w:gridCol w:w="5296"/>
        <w:gridCol w:w="1134"/>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87" w:hRule="atLeast"/>
        </w:trPr>
        <w:tc>
          <w:tcPr>
            <w:tcW w:w="71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865" w:hRule="atLeast"/>
        </w:trPr>
        <w:tc>
          <w:tcPr>
            <w:tcW w:w="710" w:type="dxa"/>
            <w:vMerge w:val="restart"/>
            <w:tcBorders>
              <w:top w:val="single" w:color="000000" w:sz="4" w:space="0"/>
              <w:left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w:t>
            </w:r>
          </w:p>
        </w:tc>
        <w:tc>
          <w:tcPr>
            <w:tcW w:w="1180" w:type="dxa"/>
            <w:vMerge w:val="restart"/>
            <w:tcBorders>
              <w:top w:val="single" w:color="000000" w:sz="4" w:space="0"/>
              <w:left w:val="single" w:color="000000" w:sz="4" w:space="0"/>
            </w:tcBorders>
            <w:tcMar>
              <w:left w:w="103" w:type="dxa"/>
            </w:tcMar>
            <w:vAlign w:val="center"/>
          </w:tcPr>
          <w:p>
            <w:pPr>
              <w:pStyle w:val="2"/>
              <w:widowControl w:val="0"/>
              <w:kinsoku/>
              <w:autoSpaceDE/>
              <w:autoSpaceDN/>
              <w:spacing w:line="360" w:lineRule="auto"/>
              <w:jc w:val="center"/>
              <w:textAlignment w:val="auto"/>
              <w:rPr>
                <w:rFonts w:ascii="宋体" w:hAnsi="宋体" w:eastAsia="宋体" w:cs="宋体"/>
                <w:color w:val="auto"/>
                <w:szCs w:val="24"/>
                <w:lang w:val="en-US"/>
              </w:rPr>
            </w:pPr>
            <w:r>
              <w:rPr>
                <w:rFonts w:hint="eastAsia" w:ascii="宋体" w:hAnsi="宋体" w:eastAsia="宋体" w:cs="宋体"/>
                <w:color w:val="auto"/>
                <w:szCs w:val="24"/>
                <w:lang w:val="en-US"/>
              </w:rPr>
              <w:t>企业</w:t>
            </w:r>
            <w:r>
              <w:rPr>
                <w:rFonts w:hint="eastAsia" w:ascii="宋体" w:hAnsi="宋体" w:eastAsia="宋体" w:cs="宋体"/>
                <w:color w:val="auto"/>
                <w:szCs w:val="24"/>
              </w:rPr>
              <w:t>资质</w:t>
            </w:r>
          </w:p>
        </w:tc>
        <w:tc>
          <w:tcPr>
            <w:tcW w:w="86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ascii="宋体" w:hAnsi="宋体" w:eastAsia="宋体" w:cs="宋体"/>
                <w:color w:val="auto"/>
                <w:sz w:val="24"/>
                <w:szCs w:val="24"/>
              </w:rPr>
              <w:t>2</w:t>
            </w:r>
            <w:r>
              <w:rPr>
                <w:rFonts w:hint="eastAsia" w:ascii="宋体" w:hAnsi="宋体" w:eastAsia="宋体" w:cs="宋体"/>
                <w:color w:val="auto"/>
                <w:sz w:val="24"/>
                <w:szCs w:val="24"/>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注册资本≥400万元</w:t>
            </w:r>
            <w:r>
              <w:rPr>
                <w:rFonts w:ascii="宋体" w:hAnsi="宋体" w:eastAsia="宋体" w:cs="宋体"/>
                <w:color w:val="auto"/>
                <w:sz w:val="24"/>
                <w:szCs w:val="24"/>
              </w:rPr>
              <w:t>1</w:t>
            </w:r>
            <w:r>
              <w:rPr>
                <w:rFonts w:hint="eastAsia" w:ascii="宋体" w:hAnsi="宋体" w:eastAsia="宋体" w:cs="宋体"/>
                <w:color w:val="auto"/>
                <w:sz w:val="24"/>
                <w:szCs w:val="24"/>
              </w:rPr>
              <w:t>分，每高于100万元加</w:t>
            </w:r>
            <w:r>
              <w:rPr>
                <w:rFonts w:ascii="宋体" w:hAnsi="宋体" w:eastAsia="宋体" w:cs="宋体"/>
                <w:color w:val="auto"/>
                <w:sz w:val="24"/>
                <w:szCs w:val="24"/>
              </w:rPr>
              <w:t>0.5</w:t>
            </w:r>
            <w:r>
              <w:rPr>
                <w:rFonts w:hint="eastAsia" w:ascii="宋体" w:hAnsi="宋体" w:eastAsia="宋体" w:cs="宋体"/>
                <w:color w:val="auto"/>
                <w:sz w:val="24"/>
                <w:szCs w:val="24"/>
              </w:rPr>
              <w:t>分，本小项最高得</w:t>
            </w:r>
            <w:r>
              <w:rPr>
                <w:rFonts w:ascii="宋体" w:hAnsi="宋体" w:eastAsia="宋体" w:cs="宋体"/>
                <w:color w:val="auto"/>
                <w:sz w:val="24"/>
                <w:szCs w:val="24"/>
              </w:rPr>
              <w:t>2</w:t>
            </w:r>
            <w:r>
              <w:rPr>
                <w:rFonts w:hint="eastAsia" w:ascii="宋体" w:hAnsi="宋体" w:eastAsia="宋体" w:cs="宋体"/>
                <w:color w:val="auto"/>
                <w:sz w:val="24"/>
                <w:szCs w:val="24"/>
              </w:rPr>
              <w:t>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605" w:hRule="atLeast"/>
        </w:trPr>
        <w:tc>
          <w:tcPr>
            <w:tcW w:w="710" w:type="dxa"/>
            <w:vMerge w:val="continue"/>
            <w:tcBorders>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p>
        </w:tc>
        <w:tc>
          <w:tcPr>
            <w:tcW w:w="1180" w:type="dxa"/>
            <w:vMerge w:val="continue"/>
            <w:tcBorders>
              <w:left w:val="single" w:color="000000" w:sz="4" w:space="0"/>
            </w:tcBorders>
            <w:tcMar>
              <w:left w:w="103" w:type="dxa"/>
            </w:tcMar>
            <w:vAlign w:val="center"/>
          </w:tcPr>
          <w:p>
            <w:pPr>
              <w:pStyle w:val="2"/>
              <w:widowControl w:val="0"/>
              <w:kinsoku/>
              <w:autoSpaceDE/>
              <w:autoSpaceDN/>
              <w:spacing w:line="360" w:lineRule="auto"/>
              <w:jc w:val="center"/>
              <w:textAlignment w:val="auto"/>
              <w:rPr>
                <w:rFonts w:ascii="宋体" w:hAnsi="宋体" w:eastAsia="宋体" w:cs="宋体"/>
                <w:color w:val="auto"/>
                <w:szCs w:val="24"/>
                <w:lang w:val="en-US"/>
              </w:rPr>
            </w:pPr>
          </w:p>
        </w:tc>
        <w:tc>
          <w:tcPr>
            <w:tcW w:w="86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ascii="宋体" w:hAnsi="宋体" w:eastAsia="宋体" w:cs="宋体"/>
                <w:color w:val="auto"/>
                <w:sz w:val="24"/>
                <w:szCs w:val="24"/>
              </w:rPr>
              <w:t>2</w:t>
            </w:r>
            <w:r>
              <w:rPr>
                <w:rFonts w:hint="eastAsia" w:ascii="宋体" w:hAnsi="宋体" w:eastAsia="宋体" w:cs="宋体"/>
                <w:color w:val="auto"/>
                <w:sz w:val="24"/>
                <w:szCs w:val="24"/>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相关体系认证（质量、环境、职业健康安全、其他每项</w:t>
            </w:r>
            <w:r>
              <w:rPr>
                <w:rFonts w:ascii="宋体" w:hAnsi="宋体" w:eastAsia="宋体" w:cs="宋体"/>
                <w:color w:val="auto"/>
                <w:sz w:val="24"/>
                <w:szCs w:val="24"/>
              </w:rPr>
              <w:t>0.5</w:t>
            </w:r>
            <w:r>
              <w:rPr>
                <w:rFonts w:hint="eastAsia" w:ascii="宋体" w:hAnsi="宋体" w:eastAsia="宋体" w:cs="宋体"/>
                <w:color w:val="auto"/>
                <w:sz w:val="24"/>
                <w:szCs w:val="24"/>
              </w:rPr>
              <w:t>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093" w:hRule="atLeast"/>
        </w:trPr>
        <w:tc>
          <w:tcPr>
            <w:tcW w:w="71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w:t>
            </w:r>
          </w:p>
        </w:tc>
        <w:tc>
          <w:tcPr>
            <w:tcW w:w="1180" w:type="dxa"/>
            <w:tcBorders>
              <w:left w:val="single" w:color="000000" w:sz="4" w:space="0"/>
            </w:tcBorders>
            <w:tcMar>
              <w:left w:w="103" w:type="dxa"/>
            </w:tcMar>
            <w:vAlign w:val="center"/>
          </w:tcPr>
          <w:p>
            <w:pPr>
              <w:pStyle w:val="2"/>
              <w:widowControl w:val="0"/>
              <w:kinsoku/>
              <w:autoSpaceDE/>
              <w:autoSpaceDN/>
              <w:spacing w:line="360" w:lineRule="auto"/>
              <w:jc w:val="center"/>
              <w:textAlignment w:val="auto"/>
              <w:rPr>
                <w:rFonts w:ascii="宋体" w:hAnsi="宋体" w:eastAsia="宋体" w:cs="宋体"/>
                <w:color w:val="auto"/>
                <w:szCs w:val="24"/>
                <w:lang w:val="en-US"/>
              </w:rPr>
            </w:pPr>
            <w:r>
              <w:rPr>
                <w:rFonts w:hint="eastAsia" w:ascii="宋体" w:hAnsi="宋体" w:eastAsia="宋体" w:cs="宋体"/>
                <w:color w:val="auto"/>
                <w:szCs w:val="24"/>
              </w:rPr>
              <w:t>类似</w:t>
            </w:r>
            <w:r>
              <w:rPr>
                <w:rFonts w:hint="eastAsia" w:ascii="宋体" w:hAnsi="宋体" w:eastAsia="宋体" w:cs="宋体"/>
                <w:color w:val="auto"/>
                <w:szCs w:val="24"/>
                <w:lang w:val="en-US"/>
              </w:rPr>
              <w:t>业务</w:t>
            </w:r>
            <w:r>
              <w:rPr>
                <w:rFonts w:hint="eastAsia" w:ascii="宋体" w:hAnsi="宋体" w:eastAsia="宋体" w:cs="宋体"/>
                <w:color w:val="auto"/>
                <w:szCs w:val="24"/>
              </w:rPr>
              <w:t>业绩</w:t>
            </w:r>
          </w:p>
        </w:tc>
        <w:tc>
          <w:tcPr>
            <w:tcW w:w="86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ascii="宋体" w:hAnsi="宋体" w:eastAsia="宋体" w:cs="宋体"/>
                <w:color w:val="auto"/>
                <w:sz w:val="24"/>
                <w:szCs w:val="24"/>
              </w:rPr>
              <w:t>8</w:t>
            </w:r>
            <w:r>
              <w:rPr>
                <w:rFonts w:hint="eastAsia" w:ascii="宋体" w:hAnsi="宋体" w:eastAsia="宋体" w:cs="宋体"/>
                <w:color w:val="auto"/>
                <w:sz w:val="24"/>
                <w:szCs w:val="24"/>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pPr>
              <w:pStyle w:val="10"/>
              <w:widowControl w:val="0"/>
              <w:kinsoku/>
              <w:autoSpaceDE/>
              <w:autoSpaceDN/>
              <w:adjustRightInd/>
              <w:snapToGri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投标人近三年来承接过合同金额</w:t>
            </w:r>
            <w:r>
              <w:rPr>
                <w:rFonts w:hint="eastAsia" w:ascii="宋体" w:hAnsi="宋体" w:eastAsia="宋体" w:cs="宋体"/>
                <w:color w:val="auto"/>
                <w:sz w:val="24"/>
                <w:szCs w:val="24"/>
                <w:lang w:val="en-US" w:eastAsia="zh-CN"/>
              </w:rPr>
              <w:t>100</w:t>
            </w:r>
            <w:r>
              <w:rPr>
                <w:rFonts w:hint="eastAsia" w:ascii="宋体" w:hAnsi="宋体" w:eastAsia="宋体" w:cs="宋体"/>
                <w:color w:val="auto"/>
                <w:sz w:val="24"/>
                <w:szCs w:val="24"/>
              </w:rPr>
              <w:t>万元及以上类似业绩且验收合格的，提供一项目业绩的得</w:t>
            </w:r>
            <w:r>
              <w:rPr>
                <w:rFonts w:ascii="宋体" w:hAnsi="宋体" w:eastAsia="宋体" w:cs="宋体"/>
                <w:color w:val="auto"/>
                <w:sz w:val="24"/>
                <w:szCs w:val="24"/>
              </w:rPr>
              <w:t>2</w:t>
            </w:r>
            <w:r>
              <w:rPr>
                <w:rFonts w:hint="eastAsia" w:ascii="宋体" w:hAnsi="宋体" w:eastAsia="宋体" w:cs="宋体"/>
                <w:color w:val="auto"/>
                <w:sz w:val="24"/>
                <w:szCs w:val="24"/>
              </w:rPr>
              <w:t>分（未能提供验收证明的得</w:t>
            </w:r>
            <w:r>
              <w:rPr>
                <w:rFonts w:ascii="宋体" w:hAnsi="宋体" w:eastAsia="宋体" w:cs="宋体"/>
                <w:color w:val="auto"/>
                <w:sz w:val="24"/>
                <w:szCs w:val="24"/>
              </w:rPr>
              <w:t>1</w:t>
            </w:r>
            <w:r>
              <w:rPr>
                <w:rFonts w:hint="eastAsia" w:ascii="宋体" w:hAnsi="宋体" w:eastAsia="宋体" w:cs="宋体"/>
                <w:color w:val="auto"/>
                <w:sz w:val="24"/>
                <w:szCs w:val="24"/>
              </w:rPr>
              <w:t>分），本小项最高得</w:t>
            </w:r>
            <w:r>
              <w:rPr>
                <w:rFonts w:ascii="宋体" w:hAnsi="宋体" w:eastAsia="宋体" w:cs="宋体"/>
                <w:color w:val="auto"/>
                <w:sz w:val="24"/>
                <w:szCs w:val="24"/>
              </w:rPr>
              <w:t>8</w:t>
            </w:r>
            <w:r>
              <w:rPr>
                <w:rFonts w:hint="eastAsia" w:ascii="宋体" w:hAnsi="宋体" w:eastAsia="宋体" w:cs="宋体"/>
                <w:color w:val="auto"/>
                <w:sz w:val="24"/>
                <w:szCs w:val="24"/>
              </w:rPr>
              <w:t>分。</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投标人应当提供合同、验收证明复印件（须加盖验收方公章）等证明材料。</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1180" w:type="dxa"/>
            <w:tcBorders>
              <w:left w:val="single" w:color="000000" w:sz="4" w:space="0"/>
            </w:tcBorders>
            <w:tcMar>
              <w:left w:w="103" w:type="dxa"/>
            </w:tcMar>
            <w:vAlign w:val="center"/>
          </w:tcPr>
          <w:p>
            <w:pPr>
              <w:pStyle w:val="2"/>
              <w:widowControl w:val="0"/>
              <w:kinsoku/>
              <w:autoSpaceDE/>
              <w:autoSpaceDN/>
              <w:spacing w:line="360" w:lineRule="auto"/>
              <w:jc w:val="center"/>
              <w:textAlignment w:val="auto"/>
              <w:rPr>
                <w:rFonts w:ascii="宋体" w:hAnsi="宋体" w:eastAsia="宋体" w:cs="宋体"/>
                <w:color w:val="auto"/>
                <w:szCs w:val="24"/>
              </w:rPr>
            </w:pPr>
            <w:r>
              <w:rPr>
                <w:rFonts w:hint="eastAsia" w:ascii="宋体" w:hAnsi="宋体" w:eastAsia="宋体" w:cs="宋体"/>
                <w:color w:val="auto"/>
                <w:szCs w:val="24"/>
                <w:lang w:val="en-US"/>
              </w:rPr>
              <w:t>付款方式</w:t>
            </w:r>
          </w:p>
        </w:tc>
        <w:tc>
          <w:tcPr>
            <w:tcW w:w="86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pPr>
              <w:kinsoku/>
              <w:autoSpaceDE/>
              <w:autoSpaceDN/>
              <w:adjustRightInd/>
              <w:snapToGrid/>
              <w:spacing w:line="360" w:lineRule="auto"/>
              <w:ind w:firstLine="480" w:firstLineChars="20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不响应扣</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1180" w:type="dxa"/>
            <w:tcBorders>
              <w:left w:val="single" w:color="000000" w:sz="4" w:space="0"/>
            </w:tcBorders>
            <w:tcMar>
              <w:left w:w="103" w:type="dxa"/>
            </w:tcMar>
            <w:vAlign w:val="center"/>
          </w:tcPr>
          <w:p>
            <w:pPr>
              <w:pStyle w:val="2"/>
              <w:widowControl w:val="0"/>
              <w:kinsoku/>
              <w:autoSpaceDE/>
              <w:autoSpaceDN/>
              <w:spacing w:line="360" w:lineRule="auto"/>
              <w:jc w:val="center"/>
              <w:textAlignment w:val="auto"/>
              <w:rPr>
                <w:rFonts w:ascii="宋体" w:hAnsi="宋体" w:eastAsia="宋体" w:cs="宋体"/>
                <w:color w:val="auto"/>
                <w:szCs w:val="24"/>
                <w:lang w:val="en-US"/>
              </w:rPr>
            </w:pPr>
            <w:r>
              <w:rPr>
                <w:rFonts w:hint="eastAsia" w:ascii="宋体" w:hAnsi="宋体" w:eastAsia="宋体" w:cs="宋体"/>
                <w:color w:val="auto"/>
                <w:szCs w:val="24"/>
                <w:lang w:val="en-US"/>
              </w:rPr>
              <w:t>交货期</w:t>
            </w:r>
          </w:p>
        </w:tc>
        <w:tc>
          <w:tcPr>
            <w:tcW w:w="86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邀标文件中规定的交货期为</w:t>
            </w:r>
            <w:r>
              <w:rPr>
                <w:rFonts w:hint="eastAsia" w:ascii="宋体" w:hAnsi="宋体" w:eastAsia="宋体" w:cs="宋体"/>
                <w:color w:val="auto"/>
                <w:sz w:val="24"/>
                <w:szCs w:val="24"/>
                <w:lang w:val="en-US" w:eastAsia="zh-CN"/>
              </w:rPr>
              <w:t>60天</w:t>
            </w:r>
            <w:r>
              <w:rPr>
                <w:rFonts w:hint="eastAsia" w:ascii="宋体" w:hAnsi="宋体" w:eastAsia="宋体" w:cs="宋体"/>
                <w:color w:val="auto"/>
                <w:sz w:val="24"/>
                <w:szCs w:val="24"/>
              </w:rPr>
              <w:t>，基础分为1分，每提前</w:t>
            </w:r>
            <w:r>
              <w:rPr>
                <w:rFonts w:hint="eastAsia" w:ascii="宋体" w:hAnsi="宋体" w:eastAsia="宋体" w:cs="宋体"/>
                <w:color w:val="auto"/>
                <w:sz w:val="24"/>
                <w:szCs w:val="24"/>
                <w:lang w:val="en-US" w:eastAsia="zh-CN"/>
              </w:rPr>
              <w:t>10天</w:t>
            </w:r>
            <w:r>
              <w:rPr>
                <w:rFonts w:hint="eastAsia" w:ascii="宋体" w:hAnsi="宋体" w:eastAsia="宋体" w:cs="宋体"/>
                <w:color w:val="auto"/>
                <w:sz w:val="24"/>
                <w:szCs w:val="24"/>
              </w:rPr>
              <w:t>加1分，每超过</w:t>
            </w:r>
            <w:r>
              <w:rPr>
                <w:rFonts w:hint="eastAsia" w:ascii="宋体" w:hAnsi="宋体" w:eastAsia="宋体" w:cs="宋体"/>
                <w:color w:val="auto"/>
                <w:sz w:val="24"/>
                <w:szCs w:val="24"/>
                <w:lang w:val="en-US" w:eastAsia="zh-CN"/>
              </w:rPr>
              <w:t>10天</w:t>
            </w:r>
            <w:r>
              <w:rPr>
                <w:rFonts w:hint="eastAsia" w:ascii="宋体" w:hAnsi="宋体" w:eastAsia="宋体" w:cs="宋体"/>
                <w:color w:val="auto"/>
                <w:sz w:val="24"/>
                <w:szCs w:val="24"/>
              </w:rPr>
              <w:t>扣1分，上限为3分。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1180" w:type="dxa"/>
            <w:tcBorders>
              <w:left w:val="single" w:color="000000" w:sz="4" w:space="0"/>
              <w:bottom w:val="single" w:color="000000" w:sz="4" w:space="0"/>
            </w:tcBorders>
            <w:tcMar>
              <w:left w:w="103" w:type="dxa"/>
            </w:tcMar>
            <w:vAlign w:val="center"/>
          </w:tcPr>
          <w:p>
            <w:pPr>
              <w:pStyle w:val="2"/>
              <w:widowControl w:val="0"/>
              <w:kinsoku/>
              <w:autoSpaceDE/>
              <w:autoSpaceDN/>
              <w:spacing w:line="360" w:lineRule="auto"/>
              <w:jc w:val="center"/>
              <w:textAlignment w:val="auto"/>
              <w:rPr>
                <w:rFonts w:ascii="宋体" w:hAnsi="宋体" w:eastAsia="宋体" w:cs="宋体"/>
                <w:color w:val="auto"/>
                <w:szCs w:val="24"/>
                <w:lang w:val="en-US"/>
              </w:rPr>
            </w:pPr>
            <w:r>
              <w:rPr>
                <w:rFonts w:hint="eastAsia" w:ascii="宋体" w:hAnsi="宋体" w:eastAsia="宋体" w:cs="宋体"/>
                <w:color w:val="auto"/>
                <w:szCs w:val="24"/>
                <w:lang w:val="en-US"/>
              </w:rPr>
              <w:t>售后服务</w:t>
            </w:r>
          </w:p>
        </w:tc>
        <w:tc>
          <w:tcPr>
            <w:tcW w:w="86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投标人须对所售出的产品实行三包:即产品在正常使用情况下发生质量问题时，投标人应按使用方的要求，负责对产品实行包修、包换、包退。2、投标人在质保期内应负责硬件及软件产品的日常维护。（每项1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p>
        </w:tc>
      </w:tr>
    </w:tbl>
    <w:p>
      <w:pPr>
        <w:pStyle w:val="9"/>
        <w:spacing w:line="360" w:lineRule="auto"/>
      </w:pPr>
    </w:p>
    <w:p>
      <w:pPr>
        <w:spacing w:line="360" w:lineRule="auto"/>
        <w:ind w:firstLine="482" w:firstLineChars="200"/>
        <w:jc w:val="both"/>
        <w:rPr>
          <w:rFonts w:ascii="宋体" w:hAnsi="宋体" w:eastAsia="宋体" w:cs="宋体"/>
          <w:b/>
          <w:bCs/>
          <w:sz w:val="24"/>
        </w:rPr>
      </w:pPr>
      <w:r>
        <w:rPr>
          <w:rFonts w:hint="eastAsia" w:ascii="宋体" w:hAnsi="宋体" w:eastAsia="宋体" w:cs="宋体"/>
          <w:b/>
          <w:bCs/>
          <w:sz w:val="24"/>
        </w:rPr>
        <w:t>3、价格部分（分值</w:t>
      </w:r>
      <w:r>
        <w:rPr>
          <w:rFonts w:hint="eastAsia" w:ascii="宋体" w:hAnsi="宋体" w:eastAsia="宋体" w:cs="宋体"/>
          <w:b/>
          <w:bCs/>
          <w:sz w:val="24"/>
          <w:lang w:val="en-US" w:eastAsia="zh-CN"/>
        </w:rPr>
        <w:t>70</w:t>
      </w:r>
      <w:r>
        <w:rPr>
          <w:rFonts w:hint="eastAsia" w:ascii="宋体" w:hAnsi="宋体" w:eastAsia="宋体" w:cs="宋体"/>
          <w:b/>
          <w:bCs/>
          <w:sz w:val="24"/>
        </w:rPr>
        <w:t>分）</w:t>
      </w:r>
    </w:p>
    <w:tbl>
      <w:tblPr>
        <w:tblStyle w:val="5"/>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仿宋_GB2312" w:hAnsi="宋体" w:eastAsia="仿宋_GB2312"/>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仿宋_GB2312" w:hAnsi="宋体" w:eastAsia="仿宋_GB2312"/>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ind w:firstLine="480" w:firstLineChars="200"/>
              <w:rPr>
                <w:rFonts w:ascii="宋体" w:hAnsi="宋体"/>
                <w:sz w:val="24"/>
              </w:rPr>
            </w:pPr>
            <w:r>
              <w:rPr>
                <w:rFonts w:hint="eastAsia" w:ascii="宋体" w:hAnsi="宋体"/>
                <w:sz w:val="24"/>
              </w:rPr>
              <w:t>合格投标人的最低报价为基准，最低报价得满分。</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价格每高出报价</w:t>
            </w:r>
            <w:r>
              <w:rPr>
                <w:rFonts w:hint="eastAsia" w:ascii="宋体" w:hAnsi="宋体" w:eastAsia="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万扣减1分。</w:t>
            </w:r>
          </w:p>
          <w:p>
            <w:pPr>
              <w:spacing w:line="360" w:lineRule="auto"/>
              <w:ind w:firstLine="480" w:firstLineChars="200"/>
              <w:rPr>
                <w:rFonts w:ascii="宋体"/>
                <w:b/>
                <w:sz w:val="24"/>
              </w:rPr>
            </w:pPr>
            <w:r>
              <w:rPr>
                <w:rFonts w:hint="eastAsia" w:ascii="宋体" w:hAnsi="宋体" w:eastAsia="宋体;SimSun" w:cs="Times New Roman"/>
                <w:sz w:val="24"/>
                <w:szCs w:val="24"/>
              </w:rPr>
              <w:t>说明：</w:t>
            </w:r>
            <w:r>
              <w:rPr>
                <w:rFonts w:hint="eastAsia" w:ascii="宋体" w:hAnsi="宋体" w:cs="Times New Roman"/>
                <w:sz w:val="24"/>
                <w:szCs w:val="24"/>
              </w:rPr>
              <w:t>上述</w:t>
            </w:r>
            <w:r>
              <w:rPr>
                <w:rFonts w:hint="eastAsia" w:ascii="宋体" w:hAnsi="宋体" w:eastAsia="宋体;SimSun" w:cs="Times New Roman"/>
                <w:sz w:val="24"/>
                <w:szCs w:val="24"/>
              </w:rPr>
              <w:t>计算结果留小数点后二位，小数点后三位“四舍五入”</w:t>
            </w:r>
            <w:r>
              <w:rPr>
                <w:rFonts w:hint="eastAsia" w:ascii="宋体" w:hAnsi="宋体" w:cs="Times New Roman"/>
                <w:sz w:val="24"/>
                <w:szCs w:val="24"/>
              </w:rPr>
              <w:t>。</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rPr>
                <w:rFonts w:ascii="仿宋_GB2312" w:hAnsi="宋体" w:eastAsia="仿宋_GB2312"/>
                <w:sz w:val="24"/>
                <w:szCs w:val="24"/>
              </w:rPr>
            </w:pPr>
          </w:p>
        </w:tc>
      </w:tr>
    </w:tbl>
    <w:p>
      <w:pPr>
        <w:pStyle w:val="9"/>
        <w:spacing w:line="360" w:lineRule="auto"/>
        <w:ind w:firstLine="480"/>
        <w:rPr>
          <w:rFonts w:ascii="宋体" w:hAnsi="宋体" w:eastAsia="宋体" w:cs="宋体"/>
          <w:sz w:val="24"/>
          <w:szCs w:val="24"/>
        </w:rPr>
      </w:pPr>
    </w:p>
    <w:p>
      <w:pPr>
        <w:spacing w:line="360" w:lineRule="auto"/>
        <w:rPr>
          <w:sz w:val="28"/>
          <w:szCs w:val="36"/>
        </w:rPr>
      </w:pPr>
    </w:p>
    <w:p>
      <w:pPr>
        <w:pStyle w:val="9"/>
        <w:spacing w:line="360" w:lineRule="auto"/>
        <w:ind w:firstLine="480"/>
        <w:rPr>
          <w:rFonts w:ascii="宋体" w:hAnsi="宋体" w:eastAsia="宋体" w:cs="宋体"/>
          <w:sz w:val="24"/>
          <w:szCs w:val="24"/>
        </w:rPr>
      </w:pPr>
    </w:p>
    <w:p>
      <w:pPr>
        <w:pStyle w:val="9"/>
        <w:spacing w:line="360" w:lineRule="auto"/>
        <w:ind w:firstLine="480"/>
        <w:rPr>
          <w:rFonts w:ascii="宋体" w:hAnsi="宋体" w:eastAsia="宋体" w:cs="宋体"/>
          <w:sz w:val="24"/>
          <w:szCs w:val="24"/>
        </w:rPr>
      </w:pPr>
    </w:p>
    <w:p>
      <w:pPr>
        <w:pStyle w:val="9"/>
        <w:spacing w:line="360" w:lineRule="auto"/>
        <w:ind w:firstLine="480"/>
        <w:rPr>
          <w:rFonts w:ascii="宋体" w:hAnsi="宋体" w:eastAsia="宋体" w:cs="宋体"/>
          <w:sz w:val="24"/>
          <w:szCs w:val="24"/>
        </w:rPr>
      </w:pPr>
    </w:p>
    <w:p>
      <w:pPr>
        <w:pStyle w:val="9"/>
        <w:spacing w:line="360" w:lineRule="auto"/>
        <w:ind w:firstLine="480"/>
        <w:rPr>
          <w:rFonts w:ascii="宋体" w:hAnsi="宋体" w:eastAsia="宋体" w:cs="宋体"/>
          <w:sz w:val="24"/>
          <w:szCs w:val="24"/>
        </w:rPr>
      </w:pPr>
    </w:p>
    <w:p>
      <w:pPr>
        <w:pStyle w:val="9"/>
        <w:spacing w:line="360" w:lineRule="auto"/>
        <w:ind w:firstLine="480"/>
        <w:rPr>
          <w:rFonts w:ascii="宋体" w:hAnsi="宋体" w:eastAsia="宋体" w:cs="宋体"/>
          <w:sz w:val="24"/>
          <w:szCs w:val="24"/>
        </w:rPr>
      </w:pPr>
    </w:p>
    <w:p>
      <w:pPr>
        <w:pStyle w:val="9"/>
        <w:spacing w:line="360" w:lineRule="auto"/>
        <w:ind w:firstLine="480"/>
        <w:rPr>
          <w:rFonts w:ascii="宋体" w:hAnsi="宋体" w:eastAsia="宋体" w:cs="宋体"/>
          <w:sz w:val="24"/>
          <w:szCs w:val="24"/>
        </w:rPr>
      </w:pPr>
    </w:p>
    <w:p>
      <w:pPr>
        <w:pStyle w:val="9"/>
        <w:spacing w:line="360" w:lineRule="auto"/>
        <w:ind w:firstLine="480"/>
        <w:rPr>
          <w:rFonts w:ascii="宋体" w:hAnsi="宋体" w:eastAsia="宋体" w:cs="宋体"/>
          <w:sz w:val="24"/>
          <w:szCs w:val="24"/>
        </w:rPr>
      </w:pPr>
    </w:p>
    <w:p>
      <w:pPr>
        <w:pStyle w:val="9"/>
        <w:spacing w:line="360" w:lineRule="auto"/>
        <w:ind w:firstLine="480"/>
        <w:rPr>
          <w:rFonts w:ascii="宋体" w:hAnsi="宋体" w:eastAsia="宋体" w:cs="宋体"/>
          <w:sz w:val="24"/>
          <w:szCs w:val="24"/>
        </w:rPr>
      </w:pPr>
    </w:p>
    <w:p>
      <w:pPr>
        <w:pStyle w:val="9"/>
        <w:spacing w:line="360" w:lineRule="auto"/>
        <w:ind w:firstLine="480"/>
        <w:rPr>
          <w:rFonts w:ascii="宋体" w:hAnsi="宋体" w:eastAsia="宋体" w:cs="宋体"/>
          <w:sz w:val="24"/>
          <w:szCs w:val="24"/>
        </w:rPr>
      </w:pPr>
    </w:p>
    <w:p>
      <w:pPr>
        <w:pStyle w:val="9"/>
        <w:spacing w:line="360" w:lineRule="auto"/>
        <w:ind w:firstLine="480"/>
        <w:rPr>
          <w:rFonts w:ascii="宋体" w:hAnsi="宋体" w:eastAsia="宋体" w:cs="宋体"/>
          <w:sz w:val="24"/>
          <w:szCs w:val="24"/>
        </w:rPr>
      </w:pPr>
    </w:p>
    <w:p>
      <w:pPr>
        <w:pStyle w:val="9"/>
        <w:spacing w:line="360" w:lineRule="auto"/>
        <w:ind w:firstLine="480"/>
        <w:rPr>
          <w:rFonts w:ascii="宋体" w:hAnsi="宋体" w:eastAsia="宋体" w:cs="宋体"/>
          <w:sz w:val="24"/>
          <w:szCs w:val="24"/>
        </w:rPr>
      </w:pPr>
    </w:p>
    <w:p>
      <w:pPr>
        <w:pStyle w:val="9"/>
        <w:spacing w:line="360" w:lineRule="auto"/>
        <w:ind w:firstLine="480"/>
        <w:rPr>
          <w:rFonts w:ascii="宋体" w:hAnsi="宋体" w:eastAsia="宋体" w:cs="宋体"/>
          <w:sz w:val="24"/>
          <w:szCs w:val="24"/>
        </w:rPr>
      </w:pPr>
    </w:p>
    <w:p>
      <w:pPr>
        <w:pStyle w:val="9"/>
        <w:spacing w:line="360" w:lineRule="auto"/>
        <w:ind w:firstLine="480"/>
        <w:rPr>
          <w:rFonts w:ascii="宋体" w:hAnsi="宋体" w:eastAsia="宋体" w:cs="宋体"/>
          <w:sz w:val="24"/>
          <w:szCs w:val="24"/>
        </w:rPr>
      </w:pPr>
    </w:p>
    <w:p>
      <w:pPr>
        <w:pStyle w:val="9"/>
        <w:spacing w:line="360" w:lineRule="auto"/>
        <w:ind w:firstLine="480"/>
        <w:rPr>
          <w:rFonts w:ascii="宋体" w:hAnsi="宋体" w:eastAsia="宋体" w:cs="宋体"/>
          <w:sz w:val="24"/>
          <w:szCs w:val="24"/>
        </w:rPr>
      </w:pPr>
    </w:p>
    <w:p>
      <w:pPr>
        <w:pStyle w:val="9"/>
        <w:spacing w:line="360" w:lineRule="auto"/>
        <w:ind w:firstLine="480"/>
        <w:rPr>
          <w:rFonts w:ascii="宋体" w:hAnsi="宋体" w:eastAsia="宋体" w:cs="宋体"/>
          <w:sz w:val="24"/>
          <w:szCs w:val="24"/>
        </w:rPr>
      </w:pPr>
    </w:p>
    <w:p>
      <w:pPr>
        <w:pStyle w:val="9"/>
        <w:spacing w:line="360" w:lineRule="auto"/>
        <w:ind w:firstLine="480"/>
        <w:rPr>
          <w:rFonts w:ascii="宋体" w:hAnsi="宋体" w:eastAsia="宋体" w:cs="宋体"/>
          <w:sz w:val="24"/>
          <w:szCs w:val="24"/>
        </w:rPr>
      </w:pPr>
    </w:p>
    <w:p>
      <w:pPr>
        <w:pStyle w:val="9"/>
        <w:spacing w:line="360" w:lineRule="auto"/>
        <w:ind w:firstLine="480"/>
        <w:rPr>
          <w:rFonts w:ascii="宋体" w:hAnsi="宋体" w:eastAsia="宋体" w:cs="宋体"/>
          <w:sz w:val="24"/>
          <w:szCs w:val="24"/>
        </w:rPr>
      </w:pPr>
    </w:p>
    <w:p>
      <w:pPr>
        <w:pStyle w:val="9"/>
        <w:spacing w:line="360" w:lineRule="auto"/>
        <w:ind w:firstLine="480"/>
        <w:rPr>
          <w:rFonts w:ascii="宋体" w:hAnsi="宋体" w:eastAsia="宋体" w:cs="宋体"/>
          <w:sz w:val="24"/>
          <w:szCs w:val="24"/>
        </w:rPr>
      </w:pPr>
    </w:p>
    <w:p>
      <w:pPr>
        <w:pStyle w:val="9"/>
        <w:spacing w:line="360" w:lineRule="auto"/>
        <w:ind w:firstLine="480"/>
        <w:rPr>
          <w:rFonts w:ascii="宋体" w:hAnsi="宋体" w:eastAsia="宋体" w:cs="宋体"/>
          <w:sz w:val="24"/>
          <w:szCs w:val="24"/>
        </w:rPr>
      </w:pPr>
    </w:p>
    <w:p>
      <w:pPr>
        <w:pStyle w:val="9"/>
        <w:spacing w:line="360" w:lineRule="auto"/>
        <w:ind w:firstLine="480"/>
        <w:rPr>
          <w:rFonts w:ascii="宋体" w:hAnsi="宋体" w:eastAsia="宋体" w:cs="宋体"/>
          <w:sz w:val="24"/>
          <w:szCs w:val="24"/>
        </w:rPr>
      </w:pPr>
    </w:p>
    <w:p>
      <w:bookmarkStart w:id="4" w:name="_GoBack"/>
      <w:bookmarkEnd w:id="4"/>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3A7825"/>
    <w:multiLevelType w:val="multilevel"/>
    <w:tmpl w:val="503A7825"/>
    <w:lvl w:ilvl="0" w:tentative="0">
      <w:start w:val="1"/>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
    <w:nsid w:val="6D1F4886"/>
    <w:multiLevelType w:val="singleLevel"/>
    <w:tmpl w:val="6D1F4886"/>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NDM1Mjg3YTNiYzA0ZjcwOGM3OTUwYjI5OWQ2YjUifQ=="/>
  </w:docVars>
  <w:rsids>
    <w:rsidRoot w:val="00000000"/>
    <w:rsid w:val="042C0EBC"/>
    <w:rsid w:val="0EC95FCB"/>
    <w:rsid w:val="173074E9"/>
    <w:rsid w:val="24896385"/>
    <w:rsid w:val="2D7C086F"/>
    <w:rsid w:val="37E64902"/>
    <w:rsid w:val="3BBC42F8"/>
    <w:rsid w:val="3E462651"/>
    <w:rsid w:val="3ECC2AA4"/>
    <w:rsid w:val="4E25025E"/>
    <w:rsid w:val="5268443A"/>
    <w:rsid w:val="56574EF1"/>
    <w:rsid w:val="598D0D66"/>
    <w:rsid w:val="5CA22C3E"/>
    <w:rsid w:val="5E021BE6"/>
    <w:rsid w:val="64BB489D"/>
    <w:rsid w:val="69146C72"/>
    <w:rsid w:val="6B8E2D0B"/>
    <w:rsid w:val="72665A85"/>
    <w:rsid w:val="7D581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仿宋_GB2312;仿宋" w:hAnsi="仿宋_GB2312;仿宋" w:eastAsia="仿宋_GB2312;仿宋" w:cs="宋体;SimSun"/>
      <w:sz w:val="24"/>
      <w:lang w:val="zh-CN"/>
    </w:rPr>
  </w:style>
  <w:style w:type="paragraph" w:styleId="3">
    <w:name w:val="Body Text"/>
    <w:basedOn w:val="1"/>
    <w:qFormat/>
    <w:uiPriority w:val="1"/>
    <w:rPr>
      <w:rFonts w:ascii="宋体" w:hAnsi="宋体" w:eastAsia="宋体" w:cs="宋体"/>
      <w:sz w:val="24"/>
      <w:szCs w:val="24"/>
      <w:lang w:val="zh-CN" w:bidi="zh-CN"/>
    </w:rPr>
  </w:style>
  <w:style w:type="paragraph" w:styleId="4">
    <w:name w:val="footer"/>
    <w:basedOn w:val="1"/>
    <w:qFormat/>
    <w:uiPriority w:val="0"/>
    <w:pPr>
      <w:tabs>
        <w:tab w:val="center" w:pos="4153"/>
        <w:tab w:val="right" w:pos="8306"/>
      </w:tabs>
    </w:pPr>
    <w:rPr>
      <w:sz w:val="18"/>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8">
    <w:name w:val="Table Normal"/>
    <w:unhideWhenUsed/>
    <w:qFormat/>
    <w:uiPriority w:val="0"/>
    <w:tblPr>
      <w:tblCellMar>
        <w:top w:w="0" w:type="dxa"/>
        <w:left w:w="0" w:type="dxa"/>
        <w:bottom w:w="0" w:type="dxa"/>
        <w:right w:w="0" w:type="dxa"/>
      </w:tblCellMar>
    </w:tblPr>
  </w:style>
  <w:style w:type="paragraph" w:customStyle="1" w:styleId="9">
    <w:name w:val="报告正文"/>
    <w:basedOn w:val="1"/>
    <w:qFormat/>
    <w:uiPriority w:val="99"/>
    <w:pPr>
      <w:spacing w:line="360" w:lineRule="auto"/>
      <w:ind w:firstLine="560" w:firstLineChars="200"/>
    </w:pPr>
    <w:rPr>
      <w:sz w:val="28"/>
      <w:szCs w:val="28"/>
    </w:rPr>
  </w:style>
  <w:style w:type="paragraph" w:styleId="10">
    <w:name w:val="List Paragraph"/>
    <w:basedOn w:val="1"/>
    <w:qFormat/>
    <w:uiPriority w:val="99"/>
    <w:pPr>
      <w:ind w:firstLine="420" w:firstLineChars="200"/>
    </w:pPr>
  </w:style>
  <w:style w:type="character" w:customStyle="1" w:styleId="11">
    <w:name w:val="font31"/>
    <w:basedOn w:val="6"/>
    <w:qFormat/>
    <w:uiPriority w:val="0"/>
    <w:rPr>
      <w:rFonts w:hint="eastAsia" w:ascii="宋体" w:hAnsi="宋体" w:eastAsia="宋体" w:cs="宋体"/>
      <w:b/>
      <w:bCs/>
      <w:color w:val="000000"/>
      <w:sz w:val="20"/>
      <w:szCs w:val="20"/>
      <w:u w:val="none"/>
    </w:rPr>
  </w:style>
  <w:style w:type="character" w:customStyle="1" w:styleId="12">
    <w:name w:val="font1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3977</Words>
  <Characters>4452</Characters>
  <Lines>0</Lines>
  <Paragraphs>0</Paragraphs>
  <TotalTime>0</TotalTime>
  <ScaleCrop>false</ScaleCrop>
  <LinksUpToDate>false</LinksUpToDate>
  <CharactersWithSpaces>4469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2023-06-14T03:09:00Z</dcterms:created>
  <dc:creator>wu</dc:creator>
  <cp:lastModifiedBy>ball</cp:lastModifiedBy>
  <dcterms:modified xsi:type="dcterms:W3CDTF">2023-07-24T07:21:30Z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C41DAA2701D34C2A9F2F283D63D7CB9D_12</vt:lpwstr>
  </property>
</Properties>
</file>